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609600" cy="6096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60960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color w:val="000000"/>
        </w:rPr>
      </w:pPr>
      <w:r w:rsidDel="00000000" w:rsidR="00000000" w:rsidRPr="00000000">
        <w:rPr>
          <w:b w:val="0"/>
          <w:bCs w:val="0"/>
          <w:i w:val="1"/>
          <w:iCs w:val="1"/>
          <w:color w:val="000000"/>
          <w:sz w:val="24"/>
          <w:szCs w:val="24"/>
          <w:rtl w:val="0"/>
        </w:rPr>
        <w:t xml:space="preserve">Ministero dell’Istruzione e del Merito</w:t>
      </w:r>
      <w:r w:rsidDel="00000000" w:rsidR="00000000" w:rsidRPr="00000000">
        <w:rPr>
          <w:i w:val="1"/>
          <w:iCs w:val="1"/>
          <w:rtl w:val="0"/>
        </w:rPr>
        <w:br w:type="textWrapping"/>
      </w:r>
      <w:r w:rsidDel="00000000" w:rsidR="00000000" w:rsidRPr="00000000">
        <w:rPr>
          <w:b w:val="1"/>
          <w:bCs w:val="1"/>
          <w:color w:val="000000"/>
          <w:sz w:val="24"/>
          <w:szCs w:val="24"/>
          <w:rtl w:val="0"/>
        </w:rPr>
        <w:t xml:space="preserve">IC CORINALDO</w:t>
      </w:r>
      <w:r w:rsidDel="00000000" w:rsidR="00000000" w:rsidRPr="00000000">
        <w:rPr>
          <w:b w:val="1"/>
          <w:bCs w:val="1"/>
          <w:color w:val="000000"/>
          <w:rtl w:val="0"/>
        </w:rPr>
        <w:br w:type="textWrapping"/>
      </w:r>
      <w:r w:rsidDel="00000000" w:rsidR="00000000" w:rsidRPr="00000000">
        <w:rPr>
          <w:color w:val="000000"/>
          <w:rtl w:val="0"/>
        </w:rPr>
        <w:t xml:space="preserve">Piazzale della Liberazione, 2,</w:t>
      </w:r>
      <w:r w:rsidDel="00000000" w:rsidR="00000000" w:rsidRPr="00000000">
        <w:rPr>
          <w:b w:val="1"/>
          <w:bCs w:val="1"/>
          <w:color w:val="000000"/>
          <w:rtl w:val="0"/>
        </w:rPr>
        <w:t xml:space="preserve"> </w:t>
      </w:r>
      <w:r w:rsidDel="00000000" w:rsidR="00000000" w:rsidRPr="00000000">
        <w:rPr>
          <w:color w:val="000000"/>
          <w:rtl w:val="0"/>
        </w:rPr>
        <w:t xml:space="preserve">CORINALDO (Ancona)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Anno Scolastico 2025/2026</w:t>
      </w:r>
    </w:p>
    <w:p w:rsidR="00000000" w:rsidDel="00000000" w:rsidP="00000000" w:rsidRDefault="00000000" w:rsidRPr="00000000" w14:paraId="00000005">
      <w:pPr>
        <w:jc w:val="center"/>
        <w:rPr>
          <w:sz w:val="24"/>
          <w:szCs w:val="24"/>
        </w:rPr>
      </w:pPr>
      <w:r w:rsidDel="00000000" w:rsidR="00000000" w:rsidRPr="00000000">
        <w:rPr>
          <w:sz w:val="24"/>
          <w:szCs w:val="24"/>
          <w:rtl w:val="0"/>
        </w:rPr>
        <w:t xml:space="preserve">Verbale del Consiglio di Classe – N </w:t>
      </w:r>
    </w:p>
    <w:p w:rsidR="00000000" w:rsidDel="00000000" w:rsidP="00000000" w:rsidRDefault="00000000" w:rsidRPr="00000000" w14:paraId="00000006">
      <w:pPr>
        <w:jc w:val="center"/>
        <w:rPr>
          <w:sz w:val="24"/>
          <w:szCs w:val="24"/>
        </w:rPr>
      </w:pPr>
      <w:r w:rsidDel="00000000" w:rsidR="00000000" w:rsidRPr="00000000">
        <w:rPr>
          <w:rtl w:val="0"/>
        </w:rPr>
      </w:r>
    </w:p>
    <w:p w:rsidR="00000000" w:rsidDel="00000000" w:rsidP="00000000" w:rsidRDefault="00000000" w:rsidRPr="00000000" w14:paraId="00000007">
      <w:pPr>
        <w:jc w:val="center"/>
        <w:rPr>
          <w:b w:val="1"/>
          <w:bCs w:val="1"/>
          <w:sz w:val="24"/>
          <w:szCs w:val="24"/>
        </w:rPr>
      </w:pPr>
      <w:r w:rsidDel="00000000" w:rsidR="00000000" w:rsidRPr="00000000">
        <w:rPr>
          <w:b w:val="1"/>
          <w:bCs w:val="1"/>
          <w:sz w:val="24"/>
          <w:szCs w:val="24"/>
          <w:rtl w:val="0"/>
        </w:rPr>
        <w:t xml:space="preserve">Verbale Scrutinio 1° QUADRIMESTRE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giorno 04/02/2026 alle ore  si è riunito il Consiglio della classe 3A del plesso SCUOLA SECONDARIA I GRADO GUIDO DEGLI SFORZA regolarmente convocato, per procedere alle operazioni di scrutinio del 1° quadrimestre degli alunni della classe e trattare i seguenti punti all’o.d.g.: </w:t>
      </w:r>
    </w:p>
    <w:p w:rsidR="00000000" w:rsidDel="00000000" w:rsidP="00000000" w:rsidRDefault="00000000" w:rsidRPr="00000000" w14:paraId="00000009">
      <w:pPr>
        <w:numPr>
          <w:ilvl w:val="0"/>
          <w:numId w:val="1"/>
        </w:numPr>
        <w:spacing w:after="0" w:line="240" w:lineRule="auto"/>
        <w:ind w:left="1080" w:hanging="360"/>
        <w:jc w:val="both"/>
        <w:rPr>
          <w:sz w:val="24"/>
          <w:szCs w:val="24"/>
        </w:rPr>
      </w:pPr>
      <w:r w:rsidDel="00000000" w:rsidR="00000000" w:rsidRPr="00000000">
        <w:rPr>
          <w:sz w:val="24"/>
          <w:szCs w:val="24"/>
          <w:rtl w:val="0"/>
        </w:rPr>
        <w:t xml:space="preserve">Analisi della situazione della classe relativa al livello di apprendimento delle conoscenze, abilità e competenze raggiunte.</w:t>
      </w:r>
    </w:p>
    <w:p w:rsidR="00000000" w:rsidDel="00000000" w:rsidP="00000000" w:rsidRDefault="00000000" w:rsidRPr="00000000" w14:paraId="0000000A">
      <w:pPr>
        <w:numPr>
          <w:ilvl w:val="0"/>
          <w:numId w:val="1"/>
        </w:numPr>
        <w:spacing w:after="0" w:line="240" w:lineRule="auto"/>
        <w:ind w:left="1080" w:hanging="360"/>
        <w:jc w:val="both"/>
        <w:rPr>
          <w:sz w:val="24"/>
          <w:szCs w:val="24"/>
        </w:rPr>
      </w:pPr>
      <w:r w:rsidDel="00000000" w:rsidR="00000000" w:rsidRPr="00000000">
        <w:rPr>
          <w:sz w:val="24"/>
          <w:szCs w:val="24"/>
          <w:rtl w:val="0"/>
        </w:rPr>
        <w:t xml:space="preserve">Operazione di Scrutinio del 1° quadrimestre.</w:t>
      </w:r>
    </w:p>
    <w:p w:rsidR="00000000" w:rsidDel="00000000" w:rsidP="00000000" w:rsidRDefault="00000000" w:rsidRPr="00000000" w14:paraId="0000000B">
      <w:pPr>
        <w:numPr>
          <w:ilvl w:val="0"/>
          <w:numId w:val="1"/>
        </w:numPr>
        <w:spacing w:after="0" w:line="240" w:lineRule="auto"/>
        <w:ind w:left="1080" w:hanging="360"/>
        <w:jc w:val="both"/>
        <w:rPr>
          <w:sz w:val="24"/>
          <w:szCs w:val="24"/>
        </w:rPr>
      </w:pPr>
      <w:r w:rsidDel="00000000" w:rsidR="00000000" w:rsidRPr="00000000">
        <w:rPr>
          <w:sz w:val="24"/>
          <w:szCs w:val="24"/>
          <w:rtl w:val="0"/>
        </w:rPr>
        <w:t xml:space="preserve">Programmazione attività di recupero</w:t>
      </w:r>
    </w:p>
    <w:p w:rsidR="00000000" w:rsidDel="00000000" w:rsidP="00000000" w:rsidRDefault="00000000" w:rsidRPr="00000000" w14:paraId="0000000C">
      <w:pPr>
        <w:numPr>
          <w:ilvl w:val="0"/>
          <w:numId w:val="1"/>
        </w:numPr>
        <w:spacing w:after="0" w:line="240" w:lineRule="auto"/>
        <w:ind w:left="1080" w:hanging="360"/>
        <w:jc w:val="both"/>
        <w:rPr>
          <w:sz w:val="24"/>
          <w:szCs w:val="24"/>
        </w:rPr>
      </w:pPr>
      <w:r w:rsidDel="00000000" w:rsidR="00000000" w:rsidRPr="00000000">
        <w:rPr>
          <w:sz w:val="24"/>
          <w:szCs w:val="24"/>
          <w:rtl w:val="0"/>
        </w:rPr>
        <w:t xml:space="preserve">Varie ed eventuali</w:t>
      </w:r>
    </w:p>
    <w:p w:rsidR="00000000" w:rsidDel="00000000" w:rsidP="00000000" w:rsidRDefault="00000000" w:rsidRPr="00000000" w14:paraId="0000000D">
      <w:pPr>
        <w:tabs>
          <w:tab w:val="left" w:leader="none" w:pos="2268"/>
          <w:tab w:val="left" w:leader="none" w:pos="6237"/>
          <w:tab w:val="left" w:leader="none" w:pos="8222"/>
          <w:tab w:val="left" w:leader="none" w:pos="9781"/>
        </w:tabs>
        <w:jc w:val="both"/>
        <w:rPr>
          <w:sz w:val="24"/>
          <w:szCs w:val="24"/>
        </w:rPr>
      </w:pPr>
      <w:r w:rsidDel="00000000" w:rsidR="00000000" w:rsidRPr="00000000">
        <w:rPr>
          <w:rtl w:val="0"/>
        </w:rPr>
      </w:r>
    </w:p>
    <w:tbl>
      <w:tblPr>
        <w:tblStyle w:val="Table1"/>
        <w:tblW w:w="9638.0" w:type="dxa"/>
        <w:jc w:val="left"/>
        <w:tblLayout w:type="fixed"/>
        <w:tblLook w:val="0000"/>
      </w:tblPr>
      <w:tblGrid>
        <w:gridCol w:w="3261"/>
        <w:gridCol w:w="6377"/>
        <w:tblGridChange w:id="0">
          <w:tblGrid>
            <w:gridCol w:w="3261"/>
            <w:gridCol w:w="6377"/>
          </w:tblGrid>
        </w:tblGridChange>
      </w:tblGrid>
      <w:tr>
        <w:trPr>
          <w:cantSplit w:val="0"/>
          <w:tblHeader w:val="0"/>
        </w:trPr>
        <w:tc>
          <w:tcPr>
            <w:shd w:fill="ffffff" w:val="clear"/>
          </w:tcPr>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Sono presenti i professori:</w:t>
            </w:r>
          </w:p>
        </w:tc>
        <w:tc>
          <w:tcPr>
            <w:shd w:fill="ffffff" w:val="cle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Sono assenti i docenti:</w:t>
            </w:r>
          </w:p>
        </w:tc>
        <w:tc>
          <w:tcPr>
            <w:shd w:fill="ffffff" w:val="cle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Sostituiti, rispettivamente da:</w:t>
            </w:r>
          </w:p>
        </w:tc>
        <w:tc>
          <w:tcPr>
            <w:shd w:fill="ffffff"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rtl w:val="0"/>
              </w:rPr>
            </w:r>
          </w:p>
        </w:tc>
      </w:tr>
    </w:tbl>
    <w:p w:rsidR="00000000" w:rsidDel="00000000" w:rsidP="00000000" w:rsidRDefault="00000000" w:rsidRPr="00000000" w14:paraId="00000017">
      <w:pPr>
        <w:rPr>
          <w:sz w:val="24"/>
          <w:szCs w:val="24"/>
        </w:rPr>
      </w:pPr>
      <w:r w:rsidDel="00000000" w:rsidR="00000000" w:rsidRPr="00000000">
        <w:rPr>
          <w:sz w:val="24"/>
          <w:szCs w:val="24"/>
          <w:rtl w:val="0"/>
        </w:rPr>
        <w:t xml:space="preserve">Presiede la seduta jj</w:t>
      </w:r>
    </w:p>
    <w:p w:rsidR="00000000" w:rsidDel="00000000" w:rsidP="00000000" w:rsidRDefault="00000000" w:rsidRPr="00000000" w14:paraId="00000018">
      <w:pPr>
        <w:rPr>
          <w:sz w:val="24"/>
          <w:szCs w:val="24"/>
        </w:rPr>
      </w:pPr>
      <w:r w:rsidDel="00000000" w:rsidR="00000000" w:rsidRPr="00000000">
        <w:rPr>
          <w:sz w:val="24"/>
          <w:szCs w:val="24"/>
          <w:rtl w:val="0"/>
        </w:rPr>
        <w:t xml:space="preserve">Redige il presente verbale con funzione di Segretario il docente jj</w:t>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Il presidente ricorda a tutti i presenti il rispetto delle procedure e degli adempimenti finali, sottolineando la prescrizione del </w:t>
      </w:r>
      <w:r w:rsidDel="00000000" w:rsidR="00000000" w:rsidRPr="00000000">
        <w:rPr>
          <w:b w:val="1"/>
          <w:bCs w:val="1"/>
          <w:sz w:val="24"/>
          <w:szCs w:val="24"/>
          <w:rtl w:val="0"/>
        </w:rPr>
        <w:t xml:space="preserve">segreto d’ufficio</w:t>
      </w:r>
      <w:r w:rsidDel="00000000" w:rsidR="00000000" w:rsidRPr="00000000">
        <w:rPr>
          <w:sz w:val="24"/>
          <w:szCs w:val="24"/>
          <w:rtl w:val="0"/>
        </w:rPr>
        <w:t xml:space="preserve"> che tutela la riservatezza delle operazioni e consente la piena libertà di espressione del proprio, sereno giudizio, in merito al delicato esame di tutti quelli elementi che possano concorrere alla valutazione finale degli allievi, secondo i criteri collegialmente concordati. </w:t>
      </w:r>
    </w:p>
    <w:p w:rsidR="00000000" w:rsidDel="00000000" w:rsidP="00000000" w:rsidRDefault="00000000" w:rsidRPr="00000000" w14:paraId="0000001A">
      <w:pPr>
        <w:tabs>
          <w:tab w:val="right" w:leader="none" w:pos="10206"/>
        </w:tabs>
        <w:spacing w:after="0" w:lineRule="auto"/>
        <w:rPr>
          <w:sz w:val="24"/>
          <w:szCs w:val="24"/>
        </w:rPr>
      </w:pPr>
      <w:r w:rsidDel="00000000" w:rsidR="00000000" w:rsidRPr="00000000">
        <w:rPr>
          <w:sz w:val="24"/>
          <w:szCs w:val="24"/>
          <w:rtl w:val="0"/>
        </w:rPr>
        <w:t xml:space="preserve">Prima di iniziare lo scrutinio, il presidente ricorda le disposizioni contenute nel R.D. n.653, nel D.Lgs. n.62 del 2017 ed in specie che:</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tabs>
          <w:tab w:val="right" w:leader="none" w:pos="10206"/>
        </w:tabs>
        <w:spacing w:after="0" w:lineRule="auto"/>
        <w:ind w:left="720" w:hanging="360"/>
        <w:rPr>
          <w:sz w:val="24"/>
          <w:szCs w:val="24"/>
        </w:rPr>
      </w:pPr>
      <w:r w:rsidDel="00000000" w:rsidR="00000000" w:rsidRPr="00000000">
        <w:rPr>
          <w:sz w:val="24"/>
          <w:szCs w:val="24"/>
          <w:rtl w:val="0"/>
        </w:rPr>
        <w:t xml:space="preserve">la valutazione degli apprendimenti e del comportamento si svolge secondo le disposizioni di cui al D.Lgs. n.62 del 2017 e variazioni apportate dalla Legge 1 ottobre 2024, n. 150;</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tabs>
          <w:tab w:val="right" w:leader="none" w:pos="10206"/>
        </w:tabs>
        <w:spacing w:after="0" w:lineRule="auto"/>
        <w:ind w:left="720" w:hanging="360"/>
        <w:rPr>
          <w:sz w:val="24"/>
          <w:szCs w:val="24"/>
        </w:rPr>
      </w:pPr>
      <w:r w:rsidDel="00000000" w:rsidR="00000000" w:rsidRPr="00000000">
        <w:rPr>
          <w:sz w:val="24"/>
          <w:szCs w:val="24"/>
          <w:rtl w:val="0"/>
        </w:rPr>
        <w:t xml:space="preserve">la valutazione avviene tenendo conto dei criteri e delle modalità definiti dal collegio dei docenti ed inseriti all’interno del piano triennale dell’offerta formativa;</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tabs>
          <w:tab w:val="right" w:leader="none" w:pos="10206"/>
        </w:tabs>
        <w:spacing w:after="0" w:lineRule="auto"/>
        <w:ind w:left="720" w:hanging="360"/>
        <w:rPr>
          <w:sz w:val="24"/>
          <w:szCs w:val="24"/>
        </w:rPr>
      </w:pPr>
      <w:r w:rsidDel="00000000" w:rsidR="00000000" w:rsidRPr="00000000">
        <w:rPr>
          <w:sz w:val="24"/>
          <w:szCs w:val="24"/>
          <w:rtl w:val="0"/>
        </w:rPr>
        <w:t xml:space="preserve">la valutazione degli apprendimenti è espressa con voti in decimi che indicano i differenti livelli di apprendimento; quella del comportamento si riferisce allo sviluppo delle competenze di cittadinanza; per entrambe le valutazioni si rimanda ai descrittori e ai giudizi inseriti nel Piano Triennale dell’Offerta Formativa;</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tabs>
          <w:tab w:val="right" w:leader="none" w:pos="10206"/>
        </w:tabs>
        <w:spacing w:after="0" w:lineRule="auto"/>
        <w:ind w:left="720" w:hanging="360"/>
        <w:rPr>
          <w:sz w:val="24"/>
          <w:szCs w:val="24"/>
        </w:rPr>
      </w:pPr>
      <w:r w:rsidDel="00000000" w:rsidR="00000000" w:rsidRPr="00000000">
        <w:rPr>
          <w:sz w:val="24"/>
          <w:szCs w:val="24"/>
          <w:rtl w:val="0"/>
        </w:rPr>
        <w:t xml:space="preserve">la valutazione è integrata, per ogni alunno, dalla descrizione del processo e del livello globale di sviluppo degli apprendimenti raggiunto;</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tabs>
          <w:tab w:val="right" w:leader="none" w:pos="10206"/>
        </w:tabs>
        <w:spacing w:after="0" w:lineRule="auto"/>
        <w:ind w:left="720" w:hanging="360"/>
        <w:rPr>
          <w:sz w:val="24"/>
          <w:szCs w:val="24"/>
        </w:rPr>
      </w:pPr>
      <w:r w:rsidDel="00000000" w:rsidR="00000000" w:rsidRPr="00000000">
        <w:rPr>
          <w:sz w:val="24"/>
          <w:szCs w:val="24"/>
          <w:rtl w:val="0"/>
        </w:rPr>
        <w:t xml:space="preserve">la valutazione è effettuata collegialmente dai docenti contitolari delle classi;</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tabs>
          <w:tab w:val="right" w:leader="none" w:pos="10206"/>
        </w:tabs>
        <w:spacing w:after="0" w:lineRule="auto"/>
        <w:ind w:left="720" w:hanging="360"/>
        <w:rPr>
          <w:sz w:val="24"/>
          <w:szCs w:val="24"/>
        </w:rPr>
      </w:pPr>
      <w:r w:rsidDel="00000000" w:rsidR="00000000" w:rsidRPr="00000000">
        <w:rPr>
          <w:sz w:val="24"/>
          <w:szCs w:val="24"/>
          <w:rtl w:val="0"/>
        </w:rPr>
        <w:t xml:space="preserve">i docenti incaricati di Religione Cattolica e di attività alternative all’insegnamento della Religione Cattolica partecipano alla valutazione delle alunne e degli alunni che si avvalgono dei suddetti insegnamenti; detta valutazione è resa su nota distinta, separata dal documento di valutazione, con giudizio sintetico riferito all’interesse manifestato e ai livelli di apprendimento conseguiti;</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tabs>
          <w:tab w:val="right" w:leader="none" w:pos="10206"/>
        </w:tabs>
        <w:spacing w:after="0" w:lineRule="auto"/>
        <w:ind w:left="720" w:hanging="360"/>
        <w:rPr>
          <w:sz w:val="24"/>
          <w:szCs w:val="24"/>
        </w:rPr>
      </w:pPr>
      <w:r w:rsidDel="00000000" w:rsidR="00000000" w:rsidRPr="00000000">
        <w:rPr>
          <w:sz w:val="24"/>
          <w:szCs w:val="24"/>
          <w:rtl w:val="0"/>
        </w:rPr>
        <w:t xml:space="preserve">i docenti che svolgono insegnamenti curricolari per gruppi di alunne e di alunni partecipano alla valutazione;</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tabs>
          <w:tab w:val="right" w:leader="none" w:pos="10206"/>
        </w:tabs>
        <w:spacing w:after="0" w:lineRule="auto"/>
        <w:ind w:left="720" w:hanging="360"/>
        <w:rPr>
          <w:sz w:val="24"/>
          <w:szCs w:val="24"/>
        </w:rPr>
      </w:pPr>
      <w:r w:rsidDel="00000000" w:rsidR="00000000" w:rsidRPr="00000000">
        <w:rPr>
          <w:sz w:val="24"/>
          <w:szCs w:val="24"/>
          <w:rtl w:val="0"/>
        </w:rPr>
        <w:t xml:space="preserve">i docenti, anche di altro grado scolastico, che svolgono attività e insegnamenti per tutte le alunne e tutti gli alunni o per gruppi degli stessi, finalizzati all’ampliamento e all’arricchimento dell’offerta formativa, forniscono elementi conoscitivi sull’interesse manifestato e sul profitto conseguito da ciascun alunno;</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tabs>
          <w:tab w:val="right" w:leader="none" w:pos="10206"/>
        </w:tabs>
        <w:spacing w:after="0" w:lineRule="auto"/>
        <w:ind w:left="720" w:hanging="360"/>
        <w:rPr>
          <w:sz w:val="24"/>
          <w:szCs w:val="24"/>
        </w:rPr>
      </w:pPr>
      <w:r w:rsidDel="00000000" w:rsidR="00000000" w:rsidRPr="00000000">
        <w:rPr>
          <w:sz w:val="24"/>
          <w:szCs w:val="24"/>
          <w:rtl w:val="0"/>
        </w:rPr>
        <w:t xml:space="preserve">la valutazione dell’Educazione civica si svolge ai sensi della Legge n.92/2019;</w:t>
      </w:r>
    </w:p>
    <w:p w:rsidR="00000000" w:rsidDel="00000000" w:rsidP="00000000" w:rsidRDefault="00000000" w:rsidRPr="00000000" w14:paraId="00000024">
      <w:pPr>
        <w:jc w:val="both"/>
        <w:rPr>
          <w:sz w:val="28"/>
          <w:szCs w:val="28"/>
        </w:rPr>
      </w:pP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Il Consiglio si attiene scrupolosamente per la parte normativa alle indicazioni ministeriali, e ai criteri di valutazione indicati dal collegio dei docenti per la valutazione di profitto e comportamento.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Analisi della situazione della classe relativa al livello di apprendimento delle conoscenze, abilità e competenze raggiunte.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docenti prendono a turno la parola e, in sintesi, illustrano il percorso educativo e didattico globalmente realizzato dalla classe nel corso del periodo di riferimento, relativamente alla programmazione curriculare, al comportamento, all’impegno, al profitto e al conseguimento degli obiettivi cognitivi e formativi ivi predeterminati.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widowControl w:val="1"/>
        <w:spacing w:after="240" w:before="240" w:line="240" w:lineRule="auto"/>
        <w:ind w:left="0" w:right="0" w:firstLine="0"/>
        <w:jc w:val="left"/>
        <w:rPr/>
      </w:pPr>
      <w:r w:rsidDel="00000000" w:rsidR="00000000" w:rsidRPr="00000000">
        <w:rPr>
          <w:color w:val="000000"/>
          <w:sz w:val="24"/>
          <w:szCs w:val="24"/>
          <w:rtl w:val="0"/>
        </w:rPr>
        <w:t xml:space="preserve">ccccc</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numPr>
          <w:ilvl w:val="0"/>
          <w:numId w:val="2"/>
        </w:numPr>
        <w:spacing w:after="0" w:line="240" w:lineRule="auto"/>
        <w:ind w:left="720" w:hanging="360"/>
        <w:rPr>
          <w:b w:val="1"/>
          <w:bCs w:val="1"/>
          <w:sz w:val="24"/>
          <w:szCs w:val="24"/>
        </w:rPr>
      </w:pPr>
      <w:r w:rsidDel="00000000" w:rsidR="00000000" w:rsidRPr="00000000">
        <w:rPr>
          <w:b w:val="1"/>
          <w:bCs w:val="1"/>
          <w:sz w:val="24"/>
          <w:szCs w:val="24"/>
          <w:rtl w:val="0"/>
        </w:rPr>
        <w:t xml:space="preserve">Operazione di Scrutinio del 1° quadrimestre.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jc w:val="both"/>
        <w:rPr>
          <w:sz w:val="24"/>
          <w:szCs w:val="24"/>
        </w:rPr>
      </w:pPr>
      <w:r w:rsidDel="00000000" w:rsidR="00000000" w:rsidRPr="00000000">
        <w:rPr>
          <w:sz w:val="24"/>
          <w:szCs w:val="24"/>
          <w:rtl w:val="0"/>
        </w:rPr>
        <w:t xml:space="preserve">Il team docenti relaziona sul rendimento scolastico di ciascun alunno in ordine alfabetico, al fine di confrontare le proposte di voto per le diverse discipline, e giungere ad una valutazione globale, che consideri tutti gli elementi utili, alla luce dei criteri deliberati collegialmente. </w:t>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Dopo ampia ed attenta discussione caso per caso, soprattutto nei confronti di quegli studenti che si trovano in una situazione di profitto particolarmente compromessa, si giunge così alla definizione dei voti, dei giudizi analitici e del comportamento formulati rispettando i criteri deliberati nel PTOF.</w:t>
      </w:r>
    </w:p>
    <w:p w:rsidR="00000000" w:rsidDel="00000000" w:rsidP="00000000" w:rsidRDefault="00000000" w:rsidRPr="00000000" w14:paraId="0000002F">
      <w:pPr>
        <w:jc w:val="both"/>
        <w:rPr>
          <w:sz w:val="24"/>
          <w:szCs w:val="24"/>
        </w:rPr>
      </w:pPr>
      <w:r w:rsidDel="00000000" w:rsidR="00000000" w:rsidRPr="00000000">
        <w:rPr>
          <w:sz w:val="24"/>
          <w:szCs w:val="24"/>
          <w:rtl w:val="0"/>
        </w:rPr>
        <w:t xml:space="preserve">Si allega al presente verbale la stampa del tabellone dello scrutinio riportante voti in decimi delle discipline, i giudizi delle della Religione Cattolica, delle Attività Alternative relative alla Religione Cattolica e del comportamento.</w:t>
      </w:r>
    </w:p>
    <w:p w:rsidR="00000000" w:rsidDel="00000000" w:rsidP="00000000" w:rsidRDefault="00000000" w:rsidRPr="00000000" w14:paraId="00000030">
      <w:pPr>
        <w:jc w:val="both"/>
        <w:rPr>
          <w:sz w:val="24"/>
          <w:szCs w:val="24"/>
        </w:rPr>
      </w:pPr>
      <w:r w:rsidDel="00000000" w:rsidR="00000000" w:rsidRPr="00000000">
        <w:rPr>
          <w:sz w:val="24"/>
          <w:szCs w:val="24"/>
          <w:rtl w:val="0"/>
        </w:rPr>
        <w:t xml:space="preserve">Viene riportata di seguito la valutazione intermedia di ciascun alunno.</w:t>
      </w:r>
    </w:p>
    <w:tbl>
      <w:tblPr>
        <w:tblStyle w:val="Table2"/>
        <w:tblW w:w="5000.0" w:type="dxa"/>
        <w:jc w:val="left"/>
        <w:tblLayout w:type="fixed"/>
        <w:tblLook w:val="0000"/>
      </w:tblPr>
      <w:tblGrid>
        <w:gridCol w:w="300"/>
        <w:gridCol w:w="2350"/>
        <w:gridCol w:w="2350"/>
        <w:tblGridChange w:id="0">
          <w:tblGrid>
            <w:gridCol w:w="300"/>
            <w:gridCol w:w="2350"/>
            <w:gridCol w:w="2350"/>
          </w:tblGrid>
        </w:tblGridChange>
      </w:tblGrid>
      <w:tr>
        <w:trPr>
          <w:cantSplit w:val="0"/>
          <w:tblHeader w:val="0"/>
        </w:trPr>
        <w:tc>
          <w:tcPr>
            <w:tcBorders>
              <w:top w:color="000000" w:space="0" w:sz="5" w:val="single"/>
              <w:left w:color="000000" w:space="0" w:sz="5" w:val="single"/>
              <w:bottom w:color="000000" w:space="0" w:sz="5" w:val="single"/>
              <w:right w:color="000000" w:space="0" w:sz="5" w:val="single"/>
            </w:tcBorders>
            <w:shd w:fill="efefef" w:val="clear"/>
            <w:tcMar>
              <w:top w:w="0.0" w:type="dxa"/>
              <w:left w:w="0.0" w:type="dxa"/>
              <w:bottom w:w="0.0" w:type="dxa"/>
              <w:right w:w="0.0" w:type="dxa"/>
            </w:tcMar>
            <w:vAlign w:val="center"/>
          </w:tcPr>
          <w:p w:rsidR="00000000" w:rsidDel="00000000" w:rsidP="00000000" w:rsidRDefault="00000000" w:rsidRPr="00000000" w14:paraId="00000031">
            <w:pPr>
              <w:widowControl w:val="1"/>
              <w:spacing w:after="0" w:before="0" w:line="240" w:lineRule="auto"/>
              <w:ind w:left="0" w:right="0" w:firstLine="0"/>
              <w:jc w:val="center"/>
              <w:rPr/>
            </w:pPr>
            <w:r w:rsidDel="00000000" w:rsidR="00000000" w:rsidRPr="00000000">
              <w:rPr>
                <w:b w:val="1"/>
                <w:bCs w:val="1"/>
                <w:color w:val="000000"/>
                <w:sz w:val="16"/>
                <w:szCs w:val="16"/>
                <w:shd w:fill="efefef" w:val="clear"/>
                <w:vertAlign w:val="baseline"/>
                <w:rtl w:val="0"/>
              </w:rPr>
              <w:t xml:space="preserve">N.</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efefef" w:val="clear"/>
            <w:tcMar>
              <w:top w:w="15.0" w:type="dxa"/>
              <w:left w:w="15.0" w:type="dxa"/>
              <w:bottom w:w="15.0" w:type="dxa"/>
              <w:right w:w="15.0" w:type="dxa"/>
            </w:tcMar>
            <w:vAlign w:val="center"/>
          </w:tcPr>
          <w:p w:rsidR="00000000" w:rsidDel="00000000" w:rsidP="00000000" w:rsidRDefault="00000000" w:rsidRPr="00000000" w14:paraId="00000032">
            <w:pPr>
              <w:widowControl w:val="1"/>
              <w:spacing w:after="0" w:before="0" w:line="240" w:lineRule="auto"/>
              <w:ind w:left="0" w:right="0" w:firstLine="0"/>
              <w:jc w:val="center"/>
              <w:rPr/>
            </w:pPr>
            <w:r w:rsidDel="00000000" w:rsidR="00000000" w:rsidRPr="00000000">
              <w:rPr>
                <w:b w:val="1"/>
                <w:bCs w:val="1"/>
                <w:color w:val="000000"/>
                <w:sz w:val="16"/>
                <w:szCs w:val="16"/>
                <w:shd w:fill="efefef" w:val="clear"/>
                <w:vertAlign w:val="baseline"/>
                <w:rtl w:val="0"/>
              </w:rPr>
              <w:t xml:space="preserve">Alunno</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efefef" w:val="clear"/>
            <w:tcMar>
              <w:top w:w="15.0" w:type="dxa"/>
              <w:left w:w="15.0" w:type="dxa"/>
              <w:bottom w:w="15.0" w:type="dxa"/>
              <w:right w:w="15.0" w:type="dxa"/>
            </w:tcMar>
            <w:vAlign w:val="center"/>
          </w:tcPr>
          <w:p w:rsidR="00000000" w:rsidDel="00000000" w:rsidP="00000000" w:rsidRDefault="00000000" w:rsidRPr="00000000" w14:paraId="00000033">
            <w:pPr>
              <w:widowControl w:val="1"/>
              <w:spacing w:after="0" w:before="0" w:line="240" w:lineRule="auto"/>
              <w:ind w:left="0" w:right="0" w:firstLine="0"/>
              <w:jc w:val="center"/>
              <w:rPr/>
            </w:pPr>
            <w:r w:rsidDel="00000000" w:rsidR="00000000" w:rsidRPr="00000000">
              <w:rPr>
                <w:b w:val="1"/>
                <w:bCs w:val="1"/>
                <w:color w:val="000000"/>
                <w:sz w:val="16"/>
                <w:szCs w:val="16"/>
                <w:shd w:fill="efefef" w:val="clear"/>
                <w:vertAlign w:val="baseline"/>
                <w:rtl w:val="0"/>
              </w:rPr>
              <w:t xml:space="preserve">Testo libero 1</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34">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35">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36">
            <w:pPr>
              <w:spacing w:after="0" w:before="0" w:line="240" w:lineRule="auto"/>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37">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38">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39">
            <w:pPr>
              <w:spacing w:after="0" w:before="0" w:line="240" w:lineRule="auto"/>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3A">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3B">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3C">
            <w:pPr>
              <w:spacing w:after="0" w:before="0" w:line="240" w:lineRule="auto"/>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3D">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3E">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3F">
            <w:pPr>
              <w:spacing w:after="0" w:before="0" w:line="240" w:lineRule="auto"/>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40">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41">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42">
            <w:pPr>
              <w:spacing w:after="0" w:before="0" w:line="240" w:lineRule="auto"/>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43">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44">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45">
            <w:pPr>
              <w:spacing w:after="0" w:before="0" w:line="240" w:lineRule="auto"/>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46">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47">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48">
            <w:pPr>
              <w:spacing w:after="0" w:before="0" w:line="240" w:lineRule="auto"/>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49">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4A">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4B">
            <w:pPr>
              <w:spacing w:after="0" w:before="0" w:line="240" w:lineRule="auto"/>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4C">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4D">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4E">
            <w:pPr>
              <w:spacing w:after="0" w:before="0" w:line="240" w:lineRule="auto"/>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4F">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10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50">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51">
            <w:pPr>
              <w:spacing w:after="0" w:before="0" w:line="240" w:lineRule="auto"/>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52">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11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53">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54">
            <w:pPr>
              <w:spacing w:after="0" w:before="0" w:line="240" w:lineRule="auto"/>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55">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12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56">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57">
            <w:pPr>
              <w:spacing w:after="0" w:before="0" w:line="240" w:lineRule="auto"/>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58">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13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59">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5A">
            <w:pPr>
              <w:spacing w:after="0" w:before="0" w:line="240" w:lineRule="auto"/>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5B">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14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5C">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5D">
            <w:pPr>
              <w:spacing w:after="0" w:before="0" w:line="240" w:lineRule="auto"/>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5E">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15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5F">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60">
            <w:pPr>
              <w:spacing w:after="0" w:before="0" w:line="240" w:lineRule="auto"/>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61">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16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62">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63">
            <w:pPr>
              <w:spacing w:after="0" w:before="0" w:line="240" w:lineRule="auto"/>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64">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17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65">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66">
            <w:pPr>
              <w:spacing w:after="0" w:before="0" w:line="240" w:lineRule="auto"/>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67">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18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68">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69">
            <w:pPr>
              <w:spacing w:after="0" w:before="0" w:line="240" w:lineRule="auto"/>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6A">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19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6B">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6C">
            <w:pPr>
              <w:spacing w:after="0" w:before="0" w:line="240" w:lineRule="auto"/>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6D">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20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6E">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6F">
            <w:pPr>
              <w:spacing w:after="0" w:before="0" w:line="240" w:lineRule="auto"/>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70">
            <w:pPr>
              <w:widowControl w:val="1"/>
              <w:spacing w:after="0" w:before="0" w:line="240" w:lineRule="auto"/>
              <w:ind w:left="0" w:right="0" w:firstLine="0"/>
              <w:jc w:val="left"/>
              <w:rPr/>
            </w:pPr>
            <w:r w:rsidDel="00000000" w:rsidR="00000000" w:rsidRPr="00000000">
              <w:rPr>
                <w:color w:val="000000"/>
                <w:sz w:val="16"/>
                <w:szCs w:val="16"/>
                <w:vertAlign w:val="baseline"/>
                <w:rtl w:val="0"/>
              </w:rPr>
              <w:t xml:space="preserve">21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71">
            <w:pPr>
              <w:widowControl w:val="1"/>
              <w:spacing w:after="0" w:before="0" w:line="240"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5.0" w:type="dxa"/>
              <w:left w:w="15.0" w:type="dxa"/>
              <w:bottom w:w="15.0" w:type="dxa"/>
              <w:right w:w="15.0" w:type="dxa"/>
            </w:tcMar>
            <w:vAlign w:val="center"/>
          </w:tcPr>
          <w:p w:rsidR="00000000" w:rsidDel="00000000" w:rsidP="00000000" w:rsidRDefault="00000000" w:rsidRPr="00000000" w14:paraId="00000072">
            <w:pPr>
              <w:spacing w:after="0" w:before="0" w:line="240" w:lineRule="auto"/>
              <w:rPr/>
            </w:pPr>
            <w:r w:rsidDel="00000000" w:rsidR="00000000" w:rsidRPr="00000000">
              <w:rPr>
                <w:rtl w:val="0"/>
              </w:rPr>
            </w:r>
          </w:p>
        </w:tc>
      </w:tr>
    </w:tbl>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sz w:val="24"/>
          <w:szCs w:val="24"/>
        </w:rPr>
      </w:pPr>
      <w:r w:rsidDel="00000000" w:rsidR="00000000" w:rsidRPr="00000000">
        <w:rPr>
          <w:sz w:val="24"/>
          <w:szCs w:val="24"/>
          <w:rtl w:val="0"/>
        </w:rPr>
        <w:t xml:space="preserve">Per gli alunni con BES la valutazione complessiva è riferita al PEI o al PDP:</w:t>
      </w:r>
    </w:p>
    <w:p w:rsidR="00000000" w:rsidDel="00000000" w:rsidP="00000000" w:rsidRDefault="00000000" w:rsidRPr="00000000" w14:paraId="00000076">
      <w:pPr>
        <w:numPr>
          <w:ilvl w:val="0"/>
          <w:numId w:val="4"/>
        </w:numPr>
        <w:spacing w:after="0" w:line="240" w:lineRule="auto"/>
        <w:ind w:left="720" w:hanging="360"/>
        <w:rPr>
          <w:color w:val="000000"/>
        </w:rPr>
      </w:pPr>
      <w:r w:rsidDel="00000000" w:rsidR="00000000" w:rsidRPr="00000000">
        <w:rPr>
          <w:color w:val="000000"/>
          <w:rtl w:val="0"/>
        </w:rPr>
        <w:t xml:space="preserve">le proposte di valutazione per gli alunni:</w:t>
      </w:r>
    </w:p>
    <w:p w:rsidR="00000000" w:rsidDel="00000000" w:rsidP="00000000" w:rsidRDefault="00000000" w:rsidRPr="00000000" w14:paraId="00000077">
      <w:pPr>
        <w:widowControl w:val="1"/>
        <w:spacing w:after="240" w:before="240" w:line="240" w:lineRule="auto"/>
        <w:ind w:left="0" w:right="0" w:firstLine="0"/>
        <w:jc w:val="left"/>
        <w:rPr/>
      </w:pPr>
      <w:r w:rsidDel="00000000" w:rsidR="00000000" w:rsidRPr="00000000">
        <w:rPr>
          <w:color w:val="000000"/>
          <w:sz w:val="24"/>
          <w:szCs w:val="24"/>
          <w:rtl w:val="0"/>
        </w:rPr>
        <w:t xml:space="preserve">vvvvvjj</w:t>
      </w:r>
      <w:r w:rsidDel="00000000" w:rsidR="00000000" w:rsidRPr="00000000">
        <w:rPr>
          <w:rtl w:val="0"/>
        </w:rPr>
      </w:r>
    </w:p>
    <w:p w:rsidR="00000000" w:rsidDel="00000000" w:rsidP="00000000" w:rsidRDefault="00000000" w:rsidRPr="00000000" w14:paraId="00000078">
      <w:pPr>
        <w:spacing w:after="0" w:line="240" w:lineRule="auto"/>
        <w:ind w:left="720" w:firstLine="0"/>
        <w:rPr>
          <w:color w:val="000000"/>
        </w:rPr>
      </w:pPr>
      <w:r w:rsidDel="00000000" w:rsidR="00000000" w:rsidRPr="00000000">
        <w:rPr>
          <w:color w:val="000000"/>
          <w:rtl w:val="0"/>
        </w:rPr>
        <w:t xml:space="preserve">tengono conto dello specifico P.E.I a suo tempo approvato;</w:t>
      </w:r>
    </w:p>
    <w:p w:rsidR="00000000" w:rsidDel="00000000" w:rsidP="00000000" w:rsidRDefault="00000000" w:rsidRPr="00000000" w14:paraId="00000079">
      <w:pPr>
        <w:spacing w:after="0" w:line="240" w:lineRule="auto"/>
        <w:jc w:val="both"/>
        <w:rPr>
          <w:color w:val="000000"/>
          <w:sz w:val="27"/>
          <w:szCs w:val="27"/>
          <w:highlight w:val="white"/>
        </w:rPr>
      </w:pPr>
      <w:r w:rsidDel="00000000" w:rsidR="00000000" w:rsidRPr="00000000">
        <w:rPr>
          <w:rtl w:val="0"/>
        </w:rPr>
      </w:r>
    </w:p>
    <w:p w:rsidR="00000000" w:rsidDel="00000000" w:rsidP="00000000" w:rsidRDefault="00000000" w:rsidRPr="00000000" w14:paraId="0000007A">
      <w:pPr>
        <w:numPr>
          <w:ilvl w:val="0"/>
          <w:numId w:val="4"/>
        </w:numPr>
        <w:spacing w:after="0" w:line="240" w:lineRule="auto"/>
        <w:ind w:left="720" w:hanging="360"/>
        <w:rPr>
          <w:color w:val="000000"/>
        </w:rPr>
      </w:pPr>
      <w:r w:rsidDel="00000000" w:rsidR="00000000" w:rsidRPr="00000000">
        <w:rPr>
          <w:color w:val="000000"/>
          <w:rtl w:val="0"/>
        </w:rPr>
        <w:t xml:space="preserve">per la valutazione degli alunni con D.S.A:</w:t>
      </w:r>
    </w:p>
    <w:p w:rsidR="00000000" w:rsidDel="00000000" w:rsidP="00000000" w:rsidRDefault="00000000" w:rsidRPr="00000000" w14:paraId="0000007B">
      <w:pPr>
        <w:widowControl w:val="1"/>
        <w:spacing w:after="240" w:before="240" w:line="240" w:lineRule="auto"/>
        <w:ind w:left="0" w:right="0" w:firstLine="0"/>
        <w:jc w:val="left"/>
        <w:rPr/>
      </w:pPr>
      <w:r w:rsidDel="00000000" w:rsidR="00000000" w:rsidRPr="00000000">
        <w:rPr>
          <w:color w:val="000000"/>
          <w:sz w:val="24"/>
          <w:szCs w:val="24"/>
          <w:rtl w:val="0"/>
        </w:rPr>
        <w:t xml:space="preserve">nnnnnjjj</w:t>
      </w:r>
      <w:r w:rsidDel="00000000" w:rsidR="00000000" w:rsidRPr="00000000">
        <w:rPr>
          <w:rtl w:val="0"/>
        </w:rPr>
      </w:r>
    </w:p>
    <w:p w:rsidR="00000000" w:rsidDel="00000000" w:rsidP="00000000" w:rsidRDefault="00000000" w:rsidRPr="00000000" w14:paraId="0000007C">
      <w:pPr>
        <w:spacing w:after="0" w:line="240" w:lineRule="auto"/>
        <w:ind w:left="720" w:firstLine="0"/>
        <w:rPr>
          <w:color w:val="000000"/>
        </w:rPr>
      </w:pPr>
      <w:r w:rsidDel="00000000" w:rsidR="00000000" w:rsidRPr="00000000">
        <w:rPr>
          <w:color w:val="000000"/>
          <w:rtl w:val="0"/>
        </w:rPr>
        <w:t xml:space="preserve">si fa riferimento al P.D.P. deliberato dal Consiglio di classe; </w:t>
      </w:r>
    </w:p>
    <w:p w:rsidR="00000000" w:rsidDel="00000000" w:rsidP="00000000" w:rsidRDefault="00000000" w:rsidRPr="00000000" w14:paraId="0000007D">
      <w:pP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7E">
      <w:pPr>
        <w:numPr>
          <w:ilvl w:val="0"/>
          <w:numId w:val="4"/>
        </w:numPr>
        <w:spacing w:after="0" w:line="240" w:lineRule="auto"/>
        <w:ind w:left="720" w:hanging="360"/>
        <w:rPr>
          <w:color w:val="000000"/>
        </w:rPr>
      </w:pPr>
      <w:r w:rsidDel="00000000" w:rsidR="00000000" w:rsidRPr="00000000">
        <w:rPr>
          <w:color w:val="000000"/>
          <w:rtl w:val="0"/>
        </w:rPr>
        <w:t xml:space="preserve">per gli alunni B.E.S. </w:t>
      </w:r>
    </w:p>
    <w:p w:rsidR="00000000" w:rsidDel="00000000" w:rsidP="00000000" w:rsidRDefault="00000000" w:rsidRPr="00000000" w14:paraId="0000007F">
      <w:pPr>
        <w:widowControl w:val="1"/>
        <w:spacing w:after="240" w:before="240" w:line="240" w:lineRule="auto"/>
        <w:ind w:left="0" w:right="0" w:firstLine="0"/>
        <w:jc w:val="left"/>
        <w:rPr/>
      </w:pPr>
      <w:r w:rsidDel="00000000" w:rsidR="00000000" w:rsidRPr="00000000">
        <w:rPr>
          <w:color w:val="000000"/>
          <w:sz w:val="24"/>
          <w:szCs w:val="24"/>
          <w:rtl w:val="0"/>
        </w:rPr>
        <w:t xml:space="preserve">ssssssjjjj</w:t>
      </w:r>
      <w:r w:rsidDel="00000000" w:rsidR="00000000" w:rsidRPr="00000000">
        <w:rPr>
          <w:rtl w:val="0"/>
        </w:rPr>
      </w:r>
    </w:p>
    <w:p w:rsidR="00000000" w:rsidDel="00000000" w:rsidP="00000000" w:rsidRDefault="00000000" w:rsidRPr="00000000" w14:paraId="00000080">
      <w:pPr>
        <w:spacing w:after="0" w:line="240" w:lineRule="auto"/>
        <w:ind w:left="720" w:firstLine="0"/>
        <w:rPr>
          <w:color w:val="000000"/>
        </w:rPr>
      </w:pPr>
      <w:r w:rsidDel="00000000" w:rsidR="00000000" w:rsidRPr="00000000">
        <w:rPr>
          <w:color w:val="000000"/>
          <w:rtl w:val="0"/>
        </w:rPr>
        <w:t xml:space="preserve">si fa riferimento al P.D.P. per i B.E.S. deliberato dal Consiglio di classe. </w:t>
      </w:r>
    </w:p>
    <w:p w:rsidR="00000000" w:rsidDel="00000000" w:rsidP="00000000" w:rsidRDefault="00000000" w:rsidRPr="00000000" w14:paraId="00000081">
      <w:pPr>
        <w:spacing w:after="0" w:line="240" w:lineRule="auto"/>
        <w:jc w:val="both"/>
        <w:rPr>
          <w:color w:val="000000"/>
        </w:rPr>
      </w:pPr>
      <w:r w:rsidDel="00000000" w:rsidR="00000000" w:rsidRPr="00000000">
        <w:rPr>
          <w:rtl w:val="0"/>
        </w:rPr>
      </w:r>
    </w:p>
    <w:p w:rsidR="00000000" w:rsidDel="00000000" w:rsidP="00000000" w:rsidRDefault="00000000" w:rsidRPr="00000000" w14:paraId="00000082">
      <w:pPr>
        <w:numPr>
          <w:ilvl w:val="0"/>
          <w:numId w:val="4"/>
        </w:numPr>
        <w:spacing w:after="0" w:line="240" w:lineRule="auto"/>
        <w:ind w:left="720" w:hanging="360"/>
        <w:rPr>
          <w:color w:val="000000"/>
        </w:rPr>
      </w:pPr>
      <w:r w:rsidDel="00000000" w:rsidR="00000000" w:rsidRPr="00000000">
        <w:rPr>
          <w:color w:val="000000"/>
          <w:rtl w:val="0"/>
        </w:rPr>
        <w:t xml:space="preserve">non si procede allo scrutinio relativo alle seguenti discipline</w:t>
      </w:r>
      <w:r w:rsidDel="00000000" w:rsidR="00000000" w:rsidRPr="00000000">
        <w:rPr>
          <w:rFonts w:ascii="Arial" w:cs="Arial" w:eastAsia="Arial" w:hAnsi="Arial"/>
          <w:color w:val="000000"/>
          <w:sz w:val="27"/>
          <w:szCs w:val="27"/>
          <w:highlight w:val="white"/>
          <w:rtl w:val="0"/>
        </w:rPr>
        <w:t xml:space="preserve"> </w:t>
      </w:r>
      <w:r w:rsidDel="00000000" w:rsidR="00000000" w:rsidRPr="00000000">
        <w:rPr>
          <w:color w:val="000000"/>
          <w:rtl w:val="0"/>
        </w:rPr>
        <w:t xml:space="preserve">nei confronti degli alunni</w:t>
      </w:r>
    </w:p>
    <w:p w:rsidR="00000000" w:rsidDel="00000000" w:rsidP="00000000" w:rsidRDefault="00000000" w:rsidRPr="00000000" w14:paraId="00000083">
      <w:pPr>
        <w:widowControl w:val="1"/>
        <w:spacing w:after="240" w:before="240" w:line="240" w:lineRule="auto"/>
        <w:ind w:left="0" w:right="0" w:firstLine="0"/>
        <w:jc w:val="left"/>
        <w:rPr/>
      </w:pPr>
      <w:r w:rsidDel="00000000" w:rsidR="00000000" w:rsidRPr="00000000">
        <w:rPr>
          <w:color w:val="000000"/>
          <w:sz w:val="24"/>
          <w:szCs w:val="24"/>
          <w:rtl w:val="0"/>
        </w:rPr>
        <w:t xml:space="preserve">ssssssjjjj</w:t>
      </w:r>
      <w:r w:rsidDel="00000000" w:rsidR="00000000" w:rsidRPr="00000000">
        <w:rPr>
          <w:rtl w:val="0"/>
        </w:rPr>
      </w:r>
    </w:p>
    <w:p w:rsidR="00000000" w:rsidDel="00000000" w:rsidP="00000000" w:rsidRDefault="00000000" w:rsidRPr="00000000" w14:paraId="00000084">
      <w:pPr>
        <w:spacing w:after="0" w:line="240" w:lineRule="auto"/>
        <w:ind w:left="720" w:firstLine="0"/>
        <w:rPr>
          <w:color w:val="000000"/>
        </w:rPr>
      </w:pPr>
      <w:r w:rsidDel="00000000" w:rsidR="00000000" w:rsidRPr="00000000">
        <w:rPr>
          <w:color w:val="000000"/>
          <w:rtl w:val="0"/>
        </w:rPr>
        <w:t xml:space="preserve">secondo quanto previsto nel documento P.D.P. per B.E.S. deliberato in precedenza.</w:t>
      </w:r>
    </w:p>
    <w:p w:rsidR="00000000" w:rsidDel="00000000" w:rsidP="00000000" w:rsidRDefault="00000000" w:rsidRPr="00000000" w14:paraId="00000085">
      <w:pPr>
        <w:spacing w:after="0" w:line="240" w:lineRule="auto"/>
        <w:jc w:val="both"/>
        <w:rPr>
          <w:color w:val="000000"/>
        </w:rPr>
      </w:pPr>
      <w:r w:rsidDel="00000000" w:rsidR="00000000" w:rsidRPr="00000000">
        <w:rPr>
          <w:rtl w:val="0"/>
        </w:rPr>
      </w:r>
    </w:p>
    <w:p w:rsidR="00000000" w:rsidDel="00000000" w:rsidP="00000000" w:rsidRDefault="00000000" w:rsidRPr="00000000" w14:paraId="00000086">
      <w:pPr>
        <w:numPr>
          <w:ilvl w:val="0"/>
          <w:numId w:val="4"/>
        </w:numPr>
        <w:spacing w:after="0" w:line="240" w:lineRule="auto"/>
        <w:ind w:left="720" w:hanging="360"/>
        <w:rPr>
          <w:color w:val="000000"/>
        </w:rPr>
      </w:pPr>
      <w:r w:rsidDel="00000000" w:rsidR="00000000" w:rsidRPr="00000000">
        <w:rPr>
          <w:color w:val="000000"/>
          <w:rtl w:val="0"/>
        </w:rPr>
        <w:t xml:space="preserve">per gli alunni </w:t>
      </w:r>
    </w:p>
    <w:p w:rsidR="00000000" w:rsidDel="00000000" w:rsidP="00000000" w:rsidRDefault="00000000" w:rsidRPr="00000000" w14:paraId="00000087">
      <w:pPr>
        <w:widowControl w:val="1"/>
        <w:spacing w:after="240" w:before="240" w:line="240" w:lineRule="auto"/>
        <w:ind w:left="0" w:right="0" w:firstLine="0"/>
        <w:jc w:val="left"/>
        <w:rPr/>
      </w:pPr>
      <w:r w:rsidDel="00000000" w:rsidR="00000000" w:rsidRPr="00000000">
        <w:rPr>
          <w:color w:val="000000"/>
          <w:sz w:val="24"/>
          <w:szCs w:val="24"/>
          <w:rtl w:val="0"/>
        </w:rPr>
        <w:t xml:space="preserve">sssssssjjjj</w:t>
      </w:r>
      <w:r w:rsidDel="00000000" w:rsidR="00000000" w:rsidRPr="00000000">
        <w:rPr>
          <w:rtl w:val="0"/>
        </w:rPr>
      </w:r>
    </w:p>
    <w:p w:rsidR="00000000" w:rsidDel="00000000" w:rsidP="00000000" w:rsidRDefault="00000000" w:rsidRPr="00000000" w14:paraId="00000088">
      <w:pPr>
        <w:spacing w:after="0" w:line="240" w:lineRule="auto"/>
        <w:ind w:left="720" w:firstLine="0"/>
        <w:rPr>
          <w:color w:val="000000"/>
        </w:rPr>
      </w:pPr>
      <w:r w:rsidDel="00000000" w:rsidR="00000000" w:rsidRPr="00000000">
        <w:rPr>
          <w:color w:val="000000"/>
          <w:rtl w:val="0"/>
        </w:rPr>
        <w:t xml:space="preserve">che non si avvalgono dell’insegnamento della Religione Cattolica, il Docente delle attività alternative ha provveduto a fornire al Consiglio di Classe gli elementi conoscitivi raccolti ed il profitto raggiunti.</w:t>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Programmazione attività di recupero</w:t>
      </w:r>
    </w:p>
    <w:p w:rsidR="00000000" w:rsidDel="00000000" w:rsidP="00000000" w:rsidRDefault="00000000" w:rsidRPr="00000000" w14:paraId="0000008B">
      <w:pPr>
        <w:rPr>
          <w:sz w:val="24"/>
          <w:szCs w:val="24"/>
        </w:rPr>
      </w:pPr>
      <w:r w:rsidDel="00000000" w:rsidR="00000000" w:rsidRPr="00000000">
        <w:rPr>
          <w:sz w:val="24"/>
          <w:szCs w:val="24"/>
          <w:rtl w:val="0"/>
        </w:rPr>
        <w:t xml:space="preserve">Si riportano nella seguente tabella riassuntiva le insufficienze segnalate:</w:t>
      </w: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sz w:val="24"/>
          <w:szCs w:val="24"/>
          <w:rtl w:val="0"/>
        </w:rPr>
        <w:t xml:space="preserve">Alle famiglie degli alunni che hanno riportato una o più insufficienze, sarà inviata comunicazione.</w:t>
      </w:r>
    </w:p>
    <w:p w:rsidR="00000000" w:rsidDel="00000000" w:rsidP="00000000" w:rsidRDefault="00000000" w:rsidRPr="00000000" w14:paraId="0000008D">
      <w:pPr>
        <w:rPr>
          <w:sz w:val="24"/>
          <w:szCs w:val="24"/>
        </w:rPr>
      </w:pPr>
      <w:r w:rsidDel="00000000" w:rsidR="00000000" w:rsidRPr="00000000">
        <w:rPr>
          <w:sz w:val="24"/>
          <w:szCs w:val="24"/>
          <w:rtl w:val="0"/>
        </w:rPr>
        <w:t xml:space="preserve">La scuola attiverà azioni di recupero e consolidamento per tutti gli alunni dell’Istituto che saranno svolte durante l’orario curricolare dal lunedì 9 febbraio a venerdì 13 febbraio</w: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Varie ed eventuali</w:t>
      </w:r>
    </w:p>
    <w:p w:rsidR="00000000" w:rsidDel="00000000" w:rsidP="00000000" w:rsidRDefault="00000000" w:rsidRPr="00000000" w14:paraId="00000090">
      <w:pPr>
        <w:widowControl w:val="1"/>
        <w:spacing w:after="240" w:before="240" w:line="240" w:lineRule="auto"/>
        <w:ind w:left="0" w:right="0" w:firstLine="0"/>
        <w:jc w:val="left"/>
        <w:rPr/>
      </w:pPr>
      <w:r w:rsidDel="00000000" w:rsidR="00000000" w:rsidRPr="00000000">
        <w:rPr>
          <w:color w:val="000000"/>
          <w:sz w:val="24"/>
          <w:szCs w:val="24"/>
          <w:rtl w:val="0"/>
        </w:rPr>
        <w:t xml:space="preserve">jjjj</w:t>
      </w:r>
      <w:r w:rsidDel="00000000" w:rsidR="00000000" w:rsidRPr="00000000">
        <w:rPr>
          <w:rtl w:val="0"/>
        </w:rPr>
      </w:r>
    </w:p>
    <w:p w:rsidR="00000000" w:rsidDel="00000000" w:rsidP="00000000" w:rsidRDefault="00000000" w:rsidRPr="00000000" w14:paraId="00000091">
      <w:pPr>
        <w:jc w:val="both"/>
        <w:rPr>
          <w:sz w:val="24"/>
          <w:szCs w:val="24"/>
        </w:rPr>
      </w:pPr>
      <w:r w:rsidDel="00000000" w:rsidR="00000000" w:rsidRPr="00000000">
        <w:rPr>
          <w:sz w:val="24"/>
          <w:szCs w:val="24"/>
          <w:rtl w:val="0"/>
        </w:rPr>
        <w:t xml:space="preserve">Si procede alla stampa del quadro sinottico generale che viene allegato al presente verbale.</w:t>
      </w:r>
    </w:p>
    <w:p w:rsidR="00000000" w:rsidDel="00000000" w:rsidP="00000000" w:rsidRDefault="00000000" w:rsidRPr="00000000" w14:paraId="00000092">
      <w:pPr>
        <w:rPr>
          <w:sz w:val="24"/>
          <w:szCs w:val="24"/>
        </w:rPr>
      </w:pPr>
      <w:r w:rsidDel="00000000" w:rsidR="00000000" w:rsidRPr="00000000">
        <w:rPr>
          <w:sz w:val="24"/>
          <w:szCs w:val="24"/>
          <w:rtl w:val="0"/>
        </w:rPr>
        <w:t xml:space="preserve">Esaurita la trattazione dei punti all’Ordine Del Giorno, la seduta è sciolta alle ore </w:t>
      </w:r>
    </w:p>
    <w:tbl>
      <w:tblPr>
        <w:tblStyle w:val="Table3"/>
        <w:tblW w:w="97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90"/>
        <w:gridCol w:w="4888"/>
        <w:tblGridChange w:id="0">
          <w:tblGrid>
            <w:gridCol w:w="4890"/>
            <w:gridCol w:w="488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3">
            <w:pPr>
              <w:spacing w:after="0" w:line="240" w:lineRule="auto"/>
              <w:jc w:val="center"/>
              <w:rPr>
                <w:color w:val="222222"/>
                <w:sz w:val="24"/>
                <w:szCs w:val="24"/>
              </w:rPr>
            </w:pPr>
            <w:r w:rsidDel="00000000" w:rsidR="00000000" w:rsidRPr="00000000">
              <w:rPr>
                <w:color w:val="222222"/>
                <w:sz w:val="24"/>
                <w:szCs w:val="24"/>
                <w:rtl w:val="0"/>
              </w:rPr>
              <w:t xml:space="preserve">Il Segretario</w:t>
              <w:br w:type="textWrapping"/>
              <w:t xml:space="preserve">jj</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4">
            <w:pPr>
              <w:shd w:fill="ffffff" w:val="clear"/>
              <w:spacing w:after="0" w:line="240" w:lineRule="auto"/>
              <w:jc w:val="center"/>
              <w:rPr>
                <w:color w:val="222222"/>
                <w:sz w:val="24"/>
                <w:szCs w:val="24"/>
              </w:rPr>
            </w:pPr>
            <w:r w:rsidDel="00000000" w:rsidR="00000000" w:rsidRPr="00000000">
              <w:rPr>
                <w:color w:val="222222"/>
                <w:sz w:val="24"/>
                <w:szCs w:val="24"/>
                <w:rtl w:val="0"/>
              </w:rPr>
              <w:t xml:space="preserve">Il Presidente</w:t>
              <w:br w:type="textWrapping"/>
              <w:t xml:space="preserve">jj</w:t>
            </w:r>
          </w:p>
        </w:tc>
      </w:tr>
    </w:tbl>
    <w:p w:rsidR="00000000" w:rsidDel="00000000" w:rsidP="00000000" w:rsidRDefault="00000000" w:rsidRPr="00000000" w14:paraId="00000095">
      <w:pPr>
        <w:jc w:val="center"/>
        <w:rPr/>
      </w:pPr>
      <w:r w:rsidDel="00000000" w:rsidR="00000000" w:rsidRPr="00000000">
        <w:rPr>
          <w:rtl w:val="0"/>
        </w:rPr>
      </w:r>
    </w:p>
    <w:sectPr>
      <w:headerReference r:id="rId9" w:type="default"/>
      <w:footerReference r:id="rId10" w:type="default"/>
      <w:pgSz w:h="16838" w:w="11906" w:orient="portrait"/>
      <w:pgMar w:bottom="1134" w:top="851"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Liberation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Verbale Scrutinio. Pag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rStyle w:val="FootnoteReference"/>
          <w:vertAlign w:val="superscript"/>
        </w:rPr>
        <w:footnoteRef/>
      </w:r>
      <w:r w:rsidDel="00000000" w:rsidR="00000000" w:rsidRPr="00000000">
        <w:rPr>
          <w:vertAlign w:val="superscript"/>
          <w:rtl w:val="0"/>
        </w:rPr>
        <w:tab/>
      </w:r>
      <w:r w:rsidDel="00000000" w:rsidR="00000000" w:rsidRPr="00000000">
        <w:rPr>
          <w:sz w:val="20"/>
          <w:szCs w:val="20"/>
          <w:rtl w:val="0"/>
        </w:rPr>
        <w:t xml:space="preserve">In merito a questo punto il decreto n.62 all’art.2 ha previsto la partecipazione dei sopracitati docenti alla valutazione; tuttavia, la Nota 1865 del 2017 ha chiarito che essi, se hanno svolto attività nell’ambito del potenziamento, forniscono elementi di informazione sui livelli di apprendimento conseguiti dalle alunne e dagli alunni e sull’interesse manifestato; pertanto, le modalità di partecipazione di tali docenti agli scrutini sono definite dal collegio dei docenti.</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footnote>
  <w:footnote w:id="1">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rPr/>
      </w:pPr>
      <w:r w:rsidDel="00000000" w:rsidR="00000000" w:rsidRPr="00000000">
        <w:rPr>
          <w:rStyle w:val="FootnoteReference"/>
          <w:vertAlign w:val="superscript"/>
        </w:rPr>
        <w:footnoteRef/>
      </w:r>
      <w:r w:rsidDel="00000000" w:rsidR="00000000" w:rsidRPr="00000000">
        <w:rPr>
          <w:vertAlign w:val="superscript"/>
          <w:rtl w:val="0"/>
        </w:rPr>
        <w:tab/>
      </w:r>
      <w:r w:rsidDel="00000000" w:rsidR="00000000" w:rsidRPr="00000000">
        <w:rPr>
          <w:sz w:val="20"/>
          <w:szCs w:val="20"/>
          <w:rtl w:val="0"/>
        </w:rPr>
        <w:t xml:space="preserve">Per questo aspetto, se il docente non partecipa agli scrutini, si presuppone che abbia già fornito al consiglio di classe elementi utili da tenere in considerazione durante lo scrutinio.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rPr/>
    </w:pPr>
    <w:r w:rsidDel="00000000" w:rsidR="00000000" w:rsidRPr="00000000">
      <w:rPr/>
      <w:pict>
        <v:shape id="PowerPlusWaterMarkObject1" style="position:absolute;width:542.7890627235661pt;height:138.68593281045872pt;rotation:315;z-index:-503316481;mso-position-horizontal-relative:margin;mso-position-horizontal:center;mso-position-vertical-relative:margin;mso-position-vertical:center;" fillcolor="#e8eaed" stroked="f" type="#_x0000_t136">
          <v:fill angle="0" opacity="65536f"/>
          <v:textpath fitshape="t" string="Fac simile"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1"/>
        <w:bCs w:val="1"/>
        <w:sz w:val="24"/>
        <w:szCs w:val="24"/>
        <w:u w:val="singl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estofumettoCarattere" w:customStyle="1">
    <w:name w:val="Testo fumetto Carattere"/>
    <w:basedOn w:val="Carpredefinitoparagrafo"/>
    <w:link w:val="Testofumetto"/>
    <w:uiPriority w:val="99"/>
    <w:semiHidden w:val="1"/>
    <w:qFormat w:val="1"/>
    <w:rsid w:val="00CB0973"/>
    <w:rPr>
      <w:rFonts w:ascii="Tahoma" w:cs="Tahoma" w:hAnsi="Tahoma"/>
      <w:sz w:val="16"/>
      <w:szCs w:val="16"/>
    </w:rPr>
  </w:style>
  <w:style w:type="character" w:styleId="IntestazioneCarattere" w:customStyle="1">
    <w:name w:val="Intestazione Carattere"/>
    <w:basedOn w:val="Carpredefinitoparagrafo"/>
    <w:link w:val="Intestazione"/>
    <w:qFormat w:val="1"/>
    <w:rsid w:val="00CB0973"/>
    <w:rPr>
      <w:rFonts w:ascii="Tinos" w:cs="Arial Unicode MS" w:eastAsia="Arial Unicode MS" w:hAnsi="Tinos"/>
      <w:color w:val="00000a"/>
      <w:sz w:val="24"/>
      <w:szCs w:val="24"/>
      <w:lang w:bidi="hi-IN" w:eastAsia="zh-CN"/>
    </w:rPr>
  </w:style>
  <w:style w:type="character" w:styleId="CorpotestoCarattere" w:customStyle="1">
    <w:name w:val="Corpo testo Carattere"/>
    <w:basedOn w:val="Carpredefinitoparagrafo"/>
    <w:link w:val="Corpotesto"/>
    <w:qFormat w:val="1"/>
    <w:rsid w:val="006A04D3"/>
    <w:rPr>
      <w:rFonts w:ascii="Nimbus Roman No9 L" w:cs="Times New Roman" w:eastAsia="DejaVu Sans" w:hAnsi="Nimbus Roman No9 L"/>
      <w:sz w:val="24"/>
      <w:szCs w:val="24"/>
      <w:lang w:eastAsia="ar-SA"/>
    </w:rPr>
  </w:style>
  <w:style w:type="character" w:styleId="Corpodeltesto2Carattere" w:customStyle="1">
    <w:name w:val="Corpo del testo 2 Carattere"/>
    <w:basedOn w:val="Carpredefinitoparagrafo"/>
    <w:link w:val="Corpodeltesto2"/>
    <w:qFormat w:val="1"/>
    <w:rsid w:val="003C2C82"/>
    <w:rPr>
      <w:rFonts w:ascii="Times New Roman" w:cs="Times New Roman" w:eastAsia="Times New Roman" w:hAnsi="Times New Roman"/>
      <w:sz w:val="24"/>
      <w:szCs w:val="24"/>
      <w:lang w:eastAsia="it-IT"/>
    </w:rPr>
  </w:style>
  <w:style w:type="character" w:styleId="PidipaginaCarattere" w:customStyle="1">
    <w:name w:val="Piè di pagina Carattere"/>
    <w:basedOn w:val="Carpredefinitoparagrafo"/>
    <w:link w:val="Pidipagina"/>
    <w:uiPriority w:val="99"/>
    <w:qFormat w:val="1"/>
    <w:rsid w:val="003C2C82"/>
  </w:style>
  <w:style w:type="character" w:styleId="ListLabel1" w:customStyle="1">
    <w:name w:val="ListLabel 1"/>
    <w:qFormat w:val="1"/>
    <w:rPr>
      <w:rFonts w:cs="Courier New"/>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ListLabel4" w:customStyle="1">
    <w:name w:val="ListLabel 4"/>
    <w:qFormat w:val="1"/>
    <w:rPr>
      <w:rFonts w:cs="Times New Roman"/>
      <w:b w:val="1"/>
      <w:sz w:val="24"/>
      <w:u w:val="single"/>
    </w:rPr>
  </w:style>
  <w:style w:type="character" w:styleId="ListLabel5" w:customStyle="1">
    <w:name w:val="ListLabel 5"/>
    <w:qFormat w:val="1"/>
    <w:rPr>
      <w:rFonts w:cs="Times New Roman"/>
      <w:b w:val="1"/>
      <w:sz w:val="24"/>
      <w:u w:val="single"/>
    </w:rPr>
  </w:style>
  <w:style w:type="character" w:styleId="Enfasiforte" w:customStyle="1">
    <w:name w:val="Enfasi forte"/>
    <w:qFormat w:val="1"/>
    <w:rPr>
      <w:b w:val="1"/>
      <w:bCs w:val="1"/>
    </w:rPr>
  </w:style>
  <w:style w:type="paragraph" w:styleId="Corpotesto">
    <w:name w:val="Body Text"/>
    <w:basedOn w:val="Normale"/>
    <w:link w:val="CorpotestoCarattere"/>
    <w:rsid w:val="006A04D3"/>
    <w:pPr>
      <w:widowControl w:val="0"/>
      <w:suppressAutoHyphens w:val="1"/>
      <w:spacing w:after="120" w:line="240" w:lineRule="auto"/>
    </w:pPr>
    <w:rPr>
      <w:rFonts w:ascii="Nimbus Roman No9 L" w:cs="Times New Roman" w:eastAsia="DejaVu Sans" w:hAnsi="Nimbus Roman No9 L"/>
      <w:sz w:val="24"/>
      <w:szCs w:val="24"/>
      <w:lang w:eastAsia="ar-SA"/>
    </w:rPr>
  </w:style>
  <w:style w:type="paragraph" w:styleId="Elenco">
    <w:name w:val="List"/>
    <w:basedOn w:val="Corpotesto"/>
    <w:rPr>
      <w:rFonts w:cs="Lohit Devanagari"/>
    </w:rPr>
  </w:style>
  <w:style w:type="paragraph" w:styleId="Didascalia">
    <w:name w:val="caption"/>
    <w:basedOn w:val="Normale"/>
    <w:qFormat w:val="1"/>
    <w:pPr>
      <w:suppressLineNumbers w:val="1"/>
      <w:spacing w:after="120" w:before="120"/>
    </w:pPr>
    <w:rPr>
      <w:rFonts w:cs="Lohit Devanagari"/>
      <w:i w:val="1"/>
      <w:iCs w:val="1"/>
      <w:sz w:val="24"/>
      <w:szCs w:val="24"/>
    </w:rPr>
  </w:style>
  <w:style w:type="paragraph" w:styleId="Indice" w:customStyle="1">
    <w:name w:val="Indice"/>
    <w:basedOn w:val="Normale"/>
    <w:qFormat w:val="1"/>
    <w:pPr>
      <w:suppressLineNumbers w:val="1"/>
    </w:pPr>
    <w:rPr>
      <w:rFonts w:cs="Lohit Devanagari"/>
    </w:rPr>
  </w:style>
  <w:style w:type="paragraph" w:styleId="Testofumetto">
    <w:name w:val="Balloon Text"/>
    <w:basedOn w:val="Normale"/>
    <w:link w:val="TestofumettoCarattere"/>
    <w:uiPriority w:val="99"/>
    <w:semiHidden w:val="1"/>
    <w:unhideWhenUsed w:val="1"/>
    <w:qFormat w:val="1"/>
    <w:rsid w:val="00CB0973"/>
    <w:pPr>
      <w:spacing w:after="0" w:line="240" w:lineRule="auto"/>
    </w:pPr>
    <w:rPr>
      <w:rFonts w:ascii="Tahoma" w:cs="Tahoma" w:hAnsi="Tahoma"/>
      <w:sz w:val="16"/>
      <w:szCs w:val="16"/>
    </w:rPr>
  </w:style>
  <w:style w:type="paragraph" w:styleId="Intestazione">
    <w:name w:val="header"/>
    <w:basedOn w:val="Normale"/>
    <w:link w:val="IntestazioneCarattere"/>
    <w:rsid w:val="00CB0973"/>
    <w:pPr>
      <w:widowControl w:val="0"/>
      <w:suppressAutoHyphens w:val="1"/>
    </w:pPr>
    <w:rPr>
      <w:rFonts w:ascii="Tinos" w:cs="Arial Unicode MS" w:eastAsia="Arial Unicode MS" w:hAnsi="Tinos"/>
      <w:color w:val="00000a"/>
      <w:sz w:val="24"/>
      <w:szCs w:val="24"/>
      <w:lang w:bidi="hi-IN" w:eastAsia="zh-CN"/>
    </w:rPr>
  </w:style>
  <w:style w:type="paragraph" w:styleId="Contenutotabella" w:customStyle="1">
    <w:name w:val="Contenuto tabella"/>
    <w:basedOn w:val="Normale"/>
    <w:qFormat w:val="1"/>
    <w:rsid w:val="006A04D3"/>
    <w:pPr>
      <w:widowControl w:val="0"/>
      <w:suppressLineNumbers w:val="1"/>
      <w:suppressAutoHyphens w:val="1"/>
      <w:spacing w:after="0" w:line="240" w:lineRule="auto"/>
    </w:pPr>
    <w:rPr>
      <w:rFonts w:ascii="Nimbus Roman No9 L" w:cs="Times New Roman" w:eastAsia="DejaVu Sans" w:hAnsi="Nimbus Roman No9 L"/>
      <w:sz w:val="24"/>
      <w:szCs w:val="24"/>
      <w:lang w:eastAsia="ar-SA"/>
    </w:rPr>
  </w:style>
  <w:style w:type="paragraph" w:styleId="Corpodeltesto2">
    <w:name w:val="Body Text 2"/>
    <w:basedOn w:val="Normale"/>
    <w:link w:val="Corpodeltesto2Carattere"/>
    <w:unhideWhenUsed w:val="1"/>
    <w:qFormat w:val="1"/>
    <w:rsid w:val="003C2C82"/>
    <w:pPr>
      <w:spacing w:after="120" w:line="480" w:lineRule="auto"/>
    </w:pPr>
    <w:rPr>
      <w:rFonts w:ascii="Times New Roman" w:cs="Times New Roman" w:eastAsia="Times New Roman" w:hAnsi="Times New Roman"/>
      <w:sz w:val="24"/>
      <w:szCs w:val="24"/>
      <w:lang w:eastAsia="it-IT"/>
    </w:rPr>
  </w:style>
  <w:style w:type="paragraph" w:styleId="Paragrafoelenco">
    <w:name w:val="List Paragraph"/>
    <w:basedOn w:val="Normale"/>
    <w:uiPriority w:val="34"/>
    <w:qFormat w:val="1"/>
    <w:rsid w:val="003C2C82"/>
    <w:pPr>
      <w:ind w:left="720"/>
      <w:contextualSpacing w:val="1"/>
    </w:pPr>
  </w:style>
  <w:style w:type="paragraph" w:styleId="Default" w:customStyle="1">
    <w:name w:val="Default"/>
    <w:qFormat w:val="1"/>
    <w:rsid w:val="003C2C82"/>
    <w:rPr>
      <w:rFonts w:ascii="Times New Roman" w:cs="Times New Roman" w:eastAsia="Calibri" w:hAnsi="Times New Roman"/>
      <w:color w:val="000000"/>
      <w:sz w:val="24"/>
      <w:szCs w:val="24"/>
    </w:rPr>
  </w:style>
  <w:style w:type="paragraph" w:styleId="Pidipagina">
    <w:name w:val="footer"/>
    <w:basedOn w:val="Normale"/>
    <w:link w:val="PidipaginaCarattere"/>
    <w:uiPriority w:val="99"/>
    <w:unhideWhenUsed w:val="1"/>
    <w:rsid w:val="003C2C82"/>
    <w:pPr>
      <w:tabs>
        <w:tab w:val="center" w:pos="4819"/>
        <w:tab w:val="right" w:pos="9638"/>
      </w:tabs>
      <w:spacing w:after="0" w:line="240" w:lineRule="auto"/>
    </w:pPr>
  </w:style>
  <w:style w:type="table" w:styleId="Grigliatabella">
    <w:name w:val="Table Grid"/>
    <w:basedOn w:val="Tabellanormale"/>
    <w:uiPriority w:val="59"/>
    <w:rsid w:val="003C2C8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DefaultParagraphFontPHPDOCX">
    <w:name w:val="Default Paragraph Font PHPDOCX"/>
    <w:uiPriority w:val="1"/>
    <w:semiHidden w:val="1"/>
    <w:unhideWhenUsed w:val="1"/>
  </w:style>
  <w:style w:type="paragraph" w:styleId="ListParagraphPHPDOCX">
    <w:name w:val="List Paragraph PHPDOCX"/>
    <w:basedOn w:val="Normal"/>
    <w:uiPriority w:val="34"/>
    <w:qFormat w:val="1"/>
    <w:rsid w:val="00DF064E"/>
    <w:pPr>
      <w:ind w:left="720"/>
      <w:contextualSpacing w:val="1"/>
    </w:pPr>
  </w:style>
  <w:style w:type="paragraph" w:styleId="TitlePHPDOCX">
    <w:name w:val="Title PHPDOCX"/>
    <w:basedOn w:val="Normal"/>
    <w:next w:val="Normal"/>
    <w:link w:val="TitleCarPHPDOCX"/>
    <w:uiPriority w:val="10"/>
    <w:qFormat w:val="1"/>
    <w:rsid w:val="00DF064E"/>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arPHPDOCX" w:customStyle="1">
    <w:name w:val="Title Car PHPDOCX"/>
    <w:basedOn w:val="DefaultParagraphFontPHPDOCX"/>
    <w:link w:val="TitlePHPDOCX"/>
    <w:uiPriority w:val="10"/>
    <w:rsid w:val="00DF064E"/>
    <w:rPr>
      <w:rFonts w:asciiTheme="majorHAnsi" w:cstheme="majorBidi" w:eastAsiaTheme="majorEastAsia" w:hAnsiTheme="majorHAnsi"/>
      <w:color w:val="17365d" w:themeColor="text2" w:themeShade="0000BF"/>
      <w:spacing w:val="5"/>
      <w:kern w:val="28"/>
      <w:sz w:val="52"/>
      <w:szCs w:val="52"/>
    </w:rPr>
  </w:style>
  <w:style w:type="paragraph" w:styleId="SubtitlePHPDOCX">
    <w:name w:val="Subtitle PHPDOCX"/>
    <w:basedOn w:val="Normal"/>
    <w:next w:val="Normal"/>
    <w:link w:val="SubtitleCarPHPDOCX"/>
    <w:uiPriority w:val="11"/>
    <w:qFormat w:val="1"/>
    <w:rsid w:val="00DF064E"/>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arPHPDOCX" w:customStyle="1">
    <w:name w:val="Subtitle Car PHPDOCX"/>
    <w:basedOn w:val="DefaultParagraphFontPHPDOCX"/>
    <w:link w:val="SubtitlePHPDOCX"/>
    <w:uiPriority w:val="11"/>
    <w:rsid w:val="00DF064E"/>
    <w:rPr>
      <w:rFonts w:asciiTheme="majorHAnsi" w:cstheme="majorBidi" w:eastAsiaTheme="majorEastAsia" w:hAnsiTheme="majorHAnsi"/>
      <w:i w:val="1"/>
      <w:iCs w:val="1"/>
      <w:color w:val="4f81bd" w:themeColor="accent1"/>
      <w:spacing w:val="15"/>
      <w:sz w:val="24"/>
      <w:szCs w:val="24"/>
    </w:rPr>
  </w:style>
  <w:style w:type="table" w:styleId="NormalTablePHPDOCX">
    <w:name w:val="Normal Table PHPDOCX"/>
    <w:uiPriority w:val="99"/>
    <w:semiHidden w:val="1"/>
    <w:unhideWhenUsed w:val="1"/>
    <w:qFormat w:val="1"/>
    <w:pPr>
      <w:spacing w:after="0" w:line="240" w:lineRule="auto"/>
    </w:pPr>
    <w:tblPr>
      <w:tblInd w:w="0.0" w:type="dxa"/>
      <w:tblCellMar>
        <w:top w:w="0.0" w:type="dxa"/>
        <w:left w:w="108.0" w:type="dxa"/>
        <w:bottom w:w="0.0" w:type="dxa"/>
        <w:right w:w="108.0" w:type="dxa"/>
      </w:tblCellMar>
    </w:tblPr>
  </w:style>
  <w:style w:type="table" w:styleId="TableGridPHPDOCX">
    <w:name w:val="Table Grid PHPDOCX"/>
    <w:uiPriority w:val="59"/>
    <w:rsid w:val="00493A0C"/>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CommentReferencePHPDOCX">
    <w:name w:val="annotation reference PHPDOCX"/>
    <w:basedOn w:val="DefaultParagraphFontPHPDOCX"/>
    <w:uiPriority w:val="99"/>
    <w:semiHidden w:val="1"/>
    <w:unhideWhenUsed w:val="1"/>
    <w:rsid w:val="00E139EA"/>
    <w:rPr>
      <w:sz w:val="16"/>
      <w:szCs w:val="16"/>
    </w:rPr>
  </w:style>
  <w:style w:type="paragraph" w:styleId="CommentTextPHPDOCX">
    <w:name w:val="annotation text PHPDOCX"/>
    <w:basedOn w:val="Normal"/>
    <w:link w:val="CommentTextCharPHPDOCX"/>
    <w:uiPriority w:val="99"/>
    <w:semiHidden w:val="1"/>
    <w:unhideWhenUsed w:val="1"/>
    <w:rsid w:val="00E139EA"/>
    <w:pPr>
      <w:spacing w:line="240" w:lineRule="auto"/>
    </w:pPr>
    <w:rPr>
      <w:sz w:val="20"/>
      <w:szCs w:val="20"/>
    </w:rPr>
  </w:style>
  <w:style w:type="character" w:styleId="CommentTextCharPHPDOCX" w:customStyle="1">
    <w:name w:val="Comment Text Char PHPDOCX"/>
    <w:basedOn w:val="DefaultParagraphFontPHPDOCX"/>
    <w:link w:val="CommentTextPHPDOCX"/>
    <w:uiPriority w:val="99"/>
    <w:semiHidden w:val="1"/>
    <w:rsid w:val="00E139EA"/>
    <w:rPr>
      <w:sz w:val="20"/>
      <w:szCs w:val="20"/>
    </w:rPr>
  </w:style>
  <w:style w:type="paragraph" w:styleId="CommentSubjectPHPDOCX">
    <w:name w:val="annotation subject PHPDOCX"/>
    <w:basedOn w:val="CommentTextPHPDOCX"/>
    <w:next w:val="CommentTextPHPDOCX"/>
    <w:link w:val="CommentSubjectCharPHPDOCX"/>
    <w:uiPriority w:val="99"/>
    <w:semiHidden w:val="1"/>
    <w:unhideWhenUsed w:val="1"/>
    <w:rsid w:val="00E139EA"/>
    <w:rPr>
      <w:b w:val="1"/>
      <w:bCs w:val="1"/>
    </w:rPr>
  </w:style>
  <w:style w:type="character" w:styleId="CommentSubjectCharPHPDOCX" w:customStyle="1">
    <w:name w:val="Comment Subject Char PHPDOCX"/>
    <w:basedOn w:val="CommentTextCharPHPDOCX"/>
    <w:link w:val="CommentSubjectPHPDOCX"/>
    <w:uiPriority w:val="99"/>
    <w:semiHidden w:val="1"/>
    <w:rsid w:val="00E139EA"/>
    <w:rPr>
      <w:b w:val="1"/>
      <w:bCs w:val="1"/>
      <w:sz w:val="20"/>
      <w:szCs w:val="20"/>
    </w:rPr>
  </w:style>
  <w:style w:type="paragraph" w:styleId="BalloonTextPHPDOCX">
    <w:name w:val="Balloon Text PHPDOCX"/>
    <w:basedOn w:val="Normal"/>
    <w:link w:val="BalloonTextCharPHPDOCX"/>
    <w:uiPriority w:val="99"/>
    <w:semiHidden w:val="1"/>
    <w:unhideWhenUsed w:val="1"/>
    <w:rsid w:val="00E139EA"/>
    <w:pPr>
      <w:spacing w:after="0" w:line="240" w:lineRule="auto"/>
    </w:pPr>
    <w:rPr>
      <w:rFonts w:ascii="Tahoma" w:cs="Tahoma" w:hAnsi="Tahoma"/>
      <w:sz w:val="16"/>
      <w:szCs w:val="16"/>
    </w:rPr>
  </w:style>
  <w:style w:type="character" w:styleId="BalloonTextCharPHPDOCX" w:customStyle="1">
    <w:name w:val="Balloon Text Char PHPDOCX"/>
    <w:basedOn w:val="DefaultParagraphFontPHPDOCX"/>
    <w:link w:val="BalloonTextPHPDOCX"/>
    <w:uiPriority w:val="99"/>
    <w:semiHidden w:val="1"/>
    <w:rsid w:val="00E139EA"/>
    <w:rPr>
      <w:rFonts w:ascii="Tahoma" w:cs="Tahoma" w:hAnsi="Tahoma"/>
      <w:sz w:val="16"/>
      <w:szCs w:val="16"/>
    </w:rPr>
  </w:style>
  <w:style w:type="paragraph" w:styleId="footnoteTextPHPDOCX">
    <w:name w:val="footnote Text PHPDOCX"/>
    <w:basedOn w:val="Normal"/>
    <w:link w:val="footnoteTextCarPHPDOCX"/>
    <w:uiPriority w:val="99"/>
    <w:semiHidden w:val="1"/>
    <w:unhideWhenUsed w:val="1"/>
    <w:rsid w:val="006E0FDA"/>
    <w:pPr>
      <w:spacing w:after="0" w:line="240" w:lineRule="auto"/>
    </w:pPr>
    <w:rPr>
      <w:sz w:val="20"/>
      <w:szCs w:val="20"/>
    </w:rPr>
  </w:style>
  <w:style w:type="character" w:styleId="footnoteTextCarPHPDOCX" w:customStyle="1">
    <w:name w:val="footnote Text Car PHPDOCX"/>
    <w:basedOn w:val="DefaultParagraphFontPHPDOCX"/>
    <w:link w:val="footnoteTextPHPDOCX"/>
    <w:uiPriority w:val="99"/>
    <w:semiHidden w:val="1"/>
    <w:rsid w:val="006E0FDA"/>
    <w:rPr>
      <w:sz w:val="20"/>
      <w:szCs w:val="20"/>
    </w:rPr>
  </w:style>
  <w:style w:type="character" w:styleId="footnoteReferencePHPDOCX">
    <w:name w:val="footnote Reference PHPDOCX"/>
    <w:basedOn w:val="DefaultParagraphFontPHPDOCX"/>
    <w:uiPriority w:val="99"/>
    <w:semiHidden w:val="1"/>
    <w:unhideWhenUsed w:val="1"/>
    <w:rsid w:val="006E0FDA"/>
    <w:rPr>
      <w:vertAlign w:val="superscript"/>
    </w:rPr>
  </w:style>
  <w:style w:type="paragraph" w:styleId="endnoteTextPHPDOCX">
    <w:name w:val="endnote Text PHPDOCX"/>
    <w:basedOn w:val="Normal"/>
    <w:link w:val="endnoteTextCarPHPDOCX"/>
    <w:uiPriority w:val="99"/>
    <w:semiHidden w:val="1"/>
    <w:unhideWhenUsed w:val="1"/>
    <w:rsid w:val="006E0FDA"/>
    <w:pPr>
      <w:spacing w:after="0" w:line="240" w:lineRule="auto"/>
    </w:pPr>
    <w:rPr>
      <w:sz w:val="20"/>
      <w:szCs w:val="20"/>
    </w:rPr>
  </w:style>
  <w:style w:type="character" w:styleId="endnoteTextCarPHPDOCX" w:customStyle="1">
    <w:name w:val="endnote Text Car PHPDOCX"/>
    <w:basedOn w:val="DefaultParagraphFontPHPDOCX"/>
    <w:link w:val="endnoteTextPHPDOCX"/>
    <w:uiPriority w:val="99"/>
    <w:semiHidden w:val="1"/>
    <w:rsid w:val="006E0FDA"/>
    <w:rPr>
      <w:sz w:val="20"/>
      <w:szCs w:val="20"/>
    </w:rPr>
  </w:style>
  <w:style w:type="character" w:styleId="endnoteReferencePHPDOCX">
    <w:name w:val="endnote Reference PHPDOCX"/>
    <w:basedOn w:val="DefaultParagraphFontPHPDOCX"/>
    <w:uiPriority w:val="99"/>
    <w:semiHidden w:val="1"/>
    <w:unhideWhenUsed w:val="1"/>
    <w:rsid w:val="006E0FDA"/>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QhbmxNdoz3mnNj0urae8/g/E4Q==">CgMxLjA4AHIhMXRQTmhQbElkNEFMRENEbGlHOVRqREVXSlZidFBZeWNJ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2026-01-21T10:57:00Z</dcterms:created>
  <dc:creator>Diego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