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8106" w14:textId="50C8F06E" w:rsidR="00F1078D" w:rsidRPr="00375F48" w:rsidRDefault="00F1078D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</w:p>
    <w:p w14:paraId="7F9F001B" w14:textId="06A69A2F" w:rsidR="00D63E02" w:rsidRPr="00375F48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04ECF0BD" w14:textId="77777777" w:rsidR="00D63E02" w:rsidRPr="00375F48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45D52D5" w14:textId="2B0D3889" w:rsidR="00D63E02" w:rsidRPr="00375F48" w:rsidRDefault="00DE2837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Intestazione Ditta</w:t>
      </w:r>
    </w:p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54EF5A27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</w:t>
            </w:r>
            <w:r w:rsidR="00FB26E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llegato </w:t>
            </w:r>
            <w:r w:rsidR="00DE283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2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: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4B4E4A6A" w14:textId="1DA2EE0F" w:rsidR="003153E7" w:rsidRPr="00A95C62" w:rsidRDefault="00A95C62" w:rsidP="00A95C6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95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L’AFFIDAMENTO DELLA </w:t>
            </w:r>
            <w:bookmarkStart w:id="0" w:name="_Hlk114659311"/>
            <w:r w:rsidRPr="00A95C62">
              <w:rPr>
                <w:rFonts w:asciiTheme="minorHAnsi" w:hAnsiTheme="minorHAnsi" w:cstheme="minorHAnsi"/>
                <w:b/>
                <w:sz w:val="22"/>
                <w:szCs w:val="22"/>
              </w:rPr>
              <w:t>FORNITURA</w:t>
            </w:r>
            <w:bookmarkStart w:id="1" w:name="_Hlk113989825"/>
            <w:bookmarkStart w:id="2" w:name="_Hlk88492261"/>
            <w:r w:rsidRPr="00A95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95C62">
              <w:rPr>
                <w:b/>
                <w:sz w:val="23"/>
                <w:szCs w:val="23"/>
              </w:rPr>
              <w:t>DI ARREDI (SEDIE) PER IL LABORATORIO DI FRUIZIONE DI PRODOTTI E SERVIZI DIGITALI</w:t>
            </w:r>
            <w:proofErr w:type="gramStart"/>
            <w:r w:rsidRPr="00A95C62">
              <w:rPr>
                <w:b/>
                <w:sz w:val="23"/>
                <w:szCs w:val="23"/>
              </w:rPr>
              <w:t xml:space="preserve">, </w:t>
            </w:r>
            <w:r w:rsidRPr="00A95C6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proofErr w:type="gramEnd"/>
            <w:r w:rsidRPr="00A95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NELL’AMBITO DELLA MISSIONE 4 – COMPONENTE 1 – INVESTIMENTO 3.2 DEL PNRR, FINANZIATO DALL’UNIONE EUROPEA – </w:t>
            </w:r>
            <w:r w:rsidRPr="00A95C6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NEXT GENERATION EU</w:t>
            </w:r>
          </w:p>
          <w:bookmarkEnd w:id="0"/>
          <w:bookmarkEnd w:id="1"/>
          <w:p w14:paraId="1589A252" w14:textId="4AD90850" w:rsidR="003153E7" w:rsidRPr="00A95C62" w:rsidRDefault="003153E7" w:rsidP="00A95C62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95C6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C.I.G. </w:t>
            </w:r>
            <w:r w:rsidR="00A95C62" w:rsidRPr="00A95C6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A00F9681DC</w:t>
            </w:r>
          </w:p>
          <w:p w14:paraId="5C24E726" w14:textId="24D3670A" w:rsidR="003153E7" w:rsidRPr="00F82BE6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CUP: </w:t>
            </w:r>
            <w:r w:rsidR="00F82BE6" w:rsidRPr="00F82B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</w:t>
            </w:r>
            <w:proofErr w:type="gramEnd"/>
            <w:r w:rsidR="00F82BE6" w:rsidRPr="00F82B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94D22003040006</w:t>
            </w:r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bookmarkEnd w:id="2"/>
          <w:p w14:paraId="357145A1" w14:textId="77777777" w:rsidR="00D63E02" w:rsidRPr="00375F48" w:rsidRDefault="00D63E02" w:rsidP="001E38D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044B154A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C5FBE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60B36" w14:textId="13D3F69A" w:rsidR="003E7607" w:rsidRDefault="003E760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840EB" w14:textId="62CF6271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0788B" w14:textId="321D5120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97FFD" w14:textId="25939A2B" w:rsidR="002970E9" w:rsidRPr="00375F48" w:rsidRDefault="002970E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8E3405" w14:textId="2C6E79D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4CE4D" w14:textId="5BAB255B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4F58A" w14:textId="520C9509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E554F" w14:textId="6BDB85C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7E11B" w14:textId="4673C377" w:rsidR="003153E7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9B9416" w14:textId="77777777" w:rsidR="0048220B" w:rsidRDefault="0048220B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CF30D" w14:textId="77777777" w:rsidR="0048220B" w:rsidRDefault="0048220B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F54F224" w14:textId="77777777" w:rsidR="0048220B" w:rsidRDefault="0048220B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907296" w14:textId="77777777" w:rsidR="00CC0B6B" w:rsidRPr="00375F48" w:rsidRDefault="00CC0B6B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E9354" w14:textId="77777777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85305" w14:textId="10DC47F9" w:rsidR="008A4DF4" w:rsidRPr="00375F48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0DAB147D" w14:textId="48DC3F28" w:rsidR="00B948C9" w:rsidRPr="00A95C62" w:rsidRDefault="00B948C9" w:rsidP="00A95C62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in relazione alla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Trattativa Diretta per la </w:t>
      </w:r>
      <w:r w:rsidR="00A95C62" w:rsidRPr="00A95C62">
        <w:rPr>
          <w:rFonts w:asciiTheme="minorHAnsi" w:hAnsiTheme="minorHAnsi" w:cstheme="minorHAnsi"/>
          <w:sz w:val="22"/>
          <w:szCs w:val="22"/>
          <w:lang w:eastAsia="en-US"/>
        </w:rPr>
        <w:t>Fornitura di arredi (sedie) per il laboratorio di fruizione di prodotti e servizi digitali,</w:t>
      </w:r>
      <w:r w:rsidRPr="00A95C62">
        <w:rPr>
          <w:rFonts w:asciiTheme="minorHAnsi" w:hAnsiTheme="minorHAnsi" w:cstheme="minorHAnsi"/>
          <w:sz w:val="22"/>
          <w:szCs w:val="22"/>
          <w:lang w:eastAsia="en-US"/>
        </w:rPr>
        <w:t xml:space="preserve"> di partecipare alla procedura medesima:</w:t>
      </w:r>
    </w:p>
    <w:p w14:paraId="26EC50A1" w14:textId="77777777" w:rsidR="00B948C9" w:rsidRPr="00375F48" w:rsidRDefault="00B948C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931"/>
        <w:gridCol w:w="5176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4846271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aver preso conoscenza del contenuto</w:t>
      </w:r>
      <w:r w:rsidR="00E62E69" w:rsidRPr="00B948C9">
        <w:rPr>
          <w:rFonts w:asciiTheme="minorHAnsi" w:hAnsiTheme="minorHAnsi" w:cstheme="minorHAnsi"/>
          <w:color w:val="000000"/>
          <w:sz w:val="22"/>
          <w:szCs w:val="22"/>
        </w:rPr>
        <w:t>, delle Condizioni di Fornitura</w:t>
      </w:r>
      <w:r w:rsidR="00B948C9" w:rsidRPr="00B948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B948C9">
        <w:rPr>
          <w:rFonts w:asciiTheme="minorHAnsi" w:hAnsiTheme="minorHAnsi" w:cstheme="minorHAnsi"/>
          <w:color w:val="000000"/>
          <w:sz w:val="22"/>
          <w:szCs w:val="22"/>
        </w:rPr>
        <w:t>lex</w:t>
      </w:r>
      <w:proofErr w:type="spellEnd"/>
      <w:r w:rsidR="00102D0C" w:rsidRPr="00B948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02D0C" w:rsidRPr="00B948C9">
        <w:rPr>
          <w:rFonts w:asciiTheme="minorHAnsi" w:hAnsiTheme="minorHAnsi" w:cstheme="minorHAnsi"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Misure 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49E651" w14:textId="43B8B401" w:rsidR="00387F1D" w:rsidRPr="00375F48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280D58D9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lastRenderedPageBreak/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D3160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D2F6" w14:textId="77777777" w:rsidR="000D7E6F" w:rsidRDefault="000D7E6F">
      <w:r>
        <w:separator/>
      </w:r>
    </w:p>
  </w:endnote>
  <w:endnote w:type="continuationSeparator" w:id="0">
    <w:p w14:paraId="5E7659FA" w14:textId="77777777" w:rsidR="000D7E6F" w:rsidRDefault="000D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C792" w14:textId="2A17945F" w:rsidR="00B05C70" w:rsidRPr="00890845" w:rsidRDefault="00000000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 w:rsidR="001224D5">
          <w:rPr>
            <w:noProof/>
            <w:sz w:val="16"/>
            <w:szCs w:val="16"/>
          </w:rPr>
          <w:t>3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E95DB6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6724" w14:textId="2E53B0C6" w:rsidR="0096764F" w:rsidRPr="00375F48" w:rsidRDefault="00000000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224D5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7F62FC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6808" w14:textId="77777777" w:rsidR="000D7E6F" w:rsidRDefault="000D7E6F">
      <w:r>
        <w:separator/>
      </w:r>
    </w:p>
  </w:footnote>
  <w:footnote w:type="continuationSeparator" w:id="0">
    <w:p w14:paraId="27D47A3C" w14:textId="77777777" w:rsidR="000D7E6F" w:rsidRDefault="000D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992055">
    <w:abstractNumId w:val="34"/>
  </w:num>
  <w:num w:numId="2" w16cid:durableId="1851874933">
    <w:abstractNumId w:val="53"/>
  </w:num>
  <w:num w:numId="3" w16cid:durableId="1351755411">
    <w:abstractNumId w:val="35"/>
  </w:num>
  <w:num w:numId="4" w16cid:durableId="1506357904">
    <w:abstractNumId w:val="15"/>
  </w:num>
  <w:num w:numId="5" w16cid:durableId="1616403450">
    <w:abstractNumId w:val="36"/>
  </w:num>
  <w:num w:numId="6" w16cid:durableId="869803735">
    <w:abstractNumId w:val="50"/>
  </w:num>
  <w:num w:numId="7" w16cid:durableId="1841849334">
    <w:abstractNumId w:val="22"/>
  </w:num>
  <w:num w:numId="8" w16cid:durableId="867370765">
    <w:abstractNumId w:val="37"/>
  </w:num>
  <w:num w:numId="9" w16cid:durableId="1562132755">
    <w:abstractNumId w:val="24"/>
  </w:num>
  <w:num w:numId="10" w16cid:durableId="453254715">
    <w:abstractNumId w:val="21"/>
  </w:num>
  <w:num w:numId="11" w16cid:durableId="806628696">
    <w:abstractNumId w:val="47"/>
  </w:num>
  <w:num w:numId="12" w16cid:durableId="312178860">
    <w:abstractNumId w:val="6"/>
  </w:num>
  <w:num w:numId="13" w16cid:durableId="494957547">
    <w:abstractNumId w:val="18"/>
  </w:num>
  <w:num w:numId="14" w16cid:durableId="963122676">
    <w:abstractNumId w:val="7"/>
  </w:num>
  <w:num w:numId="15" w16cid:durableId="901714000">
    <w:abstractNumId w:val="11"/>
  </w:num>
  <w:num w:numId="16" w16cid:durableId="1172647938">
    <w:abstractNumId w:val="52"/>
  </w:num>
  <w:num w:numId="17" w16cid:durableId="548801312">
    <w:abstractNumId w:val="41"/>
  </w:num>
  <w:num w:numId="18" w16cid:durableId="302739911">
    <w:abstractNumId w:val="25"/>
  </w:num>
  <w:num w:numId="19" w16cid:durableId="900139570">
    <w:abstractNumId w:val="32"/>
  </w:num>
  <w:num w:numId="20" w16cid:durableId="1275089502">
    <w:abstractNumId w:val="4"/>
  </w:num>
  <w:num w:numId="21" w16cid:durableId="1772163955">
    <w:abstractNumId w:val="33"/>
  </w:num>
  <w:num w:numId="22" w16cid:durableId="1619340047">
    <w:abstractNumId w:val="3"/>
  </w:num>
  <w:num w:numId="23" w16cid:durableId="1937011164">
    <w:abstractNumId w:val="31"/>
  </w:num>
  <w:num w:numId="24" w16cid:durableId="1689939496">
    <w:abstractNumId w:val="46"/>
  </w:num>
  <w:num w:numId="25" w16cid:durableId="467821792">
    <w:abstractNumId w:val="12"/>
  </w:num>
  <w:num w:numId="26" w16cid:durableId="498155314">
    <w:abstractNumId w:val="2"/>
  </w:num>
  <w:num w:numId="27" w16cid:durableId="847527640">
    <w:abstractNumId w:val="23"/>
  </w:num>
  <w:num w:numId="28" w16cid:durableId="1745492501">
    <w:abstractNumId w:val="16"/>
  </w:num>
  <w:num w:numId="29" w16cid:durableId="1361659709">
    <w:abstractNumId w:val="14"/>
  </w:num>
  <w:num w:numId="30" w16cid:durableId="747189531">
    <w:abstractNumId w:val="27"/>
  </w:num>
  <w:num w:numId="31" w16cid:durableId="1145582939">
    <w:abstractNumId w:val="19"/>
  </w:num>
  <w:num w:numId="32" w16cid:durableId="820999007">
    <w:abstractNumId w:val="42"/>
  </w:num>
  <w:num w:numId="33" w16cid:durableId="326136061">
    <w:abstractNumId w:val="40"/>
  </w:num>
  <w:num w:numId="34" w16cid:durableId="1972587443">
    <w:abstractNumId w:val="43"/>
  </w:num>
  <w:num w:numId="35" w16cid:durableId="1358458622">
    <w:abstractNumId w:val="9"/>
  </w:num>
  <w:num w:numId="36" w16cid:durableId="350953117">
    <w:abstractNumId w:val="28"/>
  </w:num>
  <w:num w:numId="37" w16cid:durableId="2026519267">
    <w:abstractNumId w:val="38"/>
  </w:num>
  <w:num w:numId="38" w16cid:durableId="280457983">
    <w:abstractNumId w:val="13"/>
  </w:num>
  <w:num w:numId="39" w16cid:durableId="2041121971">
    <w:abstractNumId w:val="39"/>
  </w:num>
  <w:num w:numId="40" w16cid:durableId="1731808989">
    <w:abstractNumId w:val="26"/>
  </w:num>
  <w:num w:numId="41" w16cid:durableId="496969390">
    <w:abstractNumId w:val="49"/>
  </w:num>
  <w:num w:numId="42" w16cid:durableId="1097796055">
    <w:abstractNumId w:val="48"/>
  </w:num>
  <w:num w:numId="43" w16cid:durableId="548034369">
    <w:abstractNumId w:val="44"/>
  </w:num>
  <w:num w:numId="44" w16cid:durableId="1286110550">
    <w:abstractNumId w:val="30"/>
  </w:num>
  <w:num w:numId="45" w16cid:durableId="1925139262">
    <w:abstractNumId w:val="10"/>
  </w:num>
  <w:num w:numId="46" w16cid:durableId="1153255392">
    <w:abstractNumId w:val="20"/>
  </w:num>
  <w:num w:numId="47" w16cid:durableId="744566237">
    <w:abstractNumId w:val="29"/>
  </w:num>
  <w:num w:numId="48" w16cid:durableId="803085406">
    <w:abstractNumId w:val="17"/>
  </w:num>
  <w:num w:numId="49" w16cid:durableId="273291585">
    <w:abstractNumId w:val="8"/>
  </w:num>
  <w:num w:numId="50" w16cid:durableId="115094976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541742688">
    <w:abstractNumId w:val="51"/>
  </w:num>
  <w:num w:numId="52" w16cid:durableId="1299847636">
    <w:abstractNumId w:val="0"/>
  </w:num>
  <w:num w:numId="53" w16cid:durableId="10186757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D7E6F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24D5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A82"/>
    <w:rsid w:val="00481656"/>
    <w:rsid w:val="0048220B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06DB5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5C62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7A1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8C9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0B6B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2837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2BE6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6E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CF9D-46E4-47B1-A366-DEB04381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1867</Words>
  <Characters>10646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2023-08-03T10:02:00Z</dcterms:created>
  <dcterms:modified xsi:type="dcterms:W3CDTF">2023-09-14T10:25:00Z</dcterms:modified>
</cp:coreProperties>
</file>