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839A" w14:textId="69668E04" w:rsidR="00BC2AB4" w:rsidRDefault="00747C34" w:rsidP="00B5672E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5E50FBB0" w14:textId="15CA067F" w:rsidR="00747C34" w:rsidRPr="00A85B3D" w:rsidRDefault="00747C34" w:rsidP="003D3692">
      <w:pPr>
        <w:spacing w:after="160"/>
        <w:jc w:val="both"/>
        <w:rPr>
          <w:rFonts w:eastAsia="Calibri"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 xml:space="preserve">la </w:t>
      </w:r>
      <w:r w:rsidR="00B5672E">
        <w:rPr>
          <w:rFonts w:eastAsia="Calibri" w:cstheme="minorHAnsi"/>
          <w:lang w:val="it-IT"/>
        </w:rPr>
        <w:t>Trattativa Diretta</w:t>
      </w:r>
      <w:r w:rsidR="00B5672E" w:rsidRPr="00A85B3D">
        <w:rPr>
          <w:rFonts w:eastAsia="Calibri" w:cstheme="minorHAnsi"/>
          <w:lang w:val="it-IT"/>
        </w:rPr>
        <w:t xml:space="preserve"> </w:t>
      </w:r>
      <w:r w:rsidR="00B5672E">
        <w:rPr>
          <w:rFonts w:eastAsia="Calibri" w:cstheme="minorHAnsi"/>
          <w:lang w:val="it-IT"/>
        </w:rPr>
        <w:t>per l’acquisto di materiale pubblicitario</w:t>
      </w:r>
      <w:r w:rsidR="00B5672E" w:rsidRPr="00A85B3D">
        <w:rPr>
          <w:rFonts w:eastAsia="Calibri" w:cstheme="minorHAnsi"/>
          <w:bCs/>
          <w:lang w:val="it-IT"/>
        </w:rPr>
        <w:t xml:space="preserve"> </w:t>
      </w:r>
      <w:r w:rsidR="00D81EF7" w:rsidRPr="00A85B3D">
        <w:rPr>
          <w:rFonts w:eastAsia="Calibri" w:cstheme="minorHAnsi"/>
          <w:bCs/>
          <w:lang w:val="it-IT"/>
        </w:rPr>
        <w:t xml:space="preserve">(CIG </w:t>
      </w:r>
      <w:r w:rsidR="00B5672E">
        <w:rPr>
          <w:rFonts w:eastAsia="Calibri" w:cstheme="minorHAnsi"/>
          <w:bCs/>
          <w:lang w:val="it-IT"/>
        </w:rPr>
        <w:t>A022C34F1A</w:t>
      </w:r>
      <w:r w:rsidR="00A85B3D">
        <w:rPr>
          <w:rFonts w:eastAsia="Calibri" w:cstheme="minorHAnsi"/>
          <w:bCs/>
          <w:lang w:val="it-IT"/>
        </w:rPr>
        <w:t xml:space="preserve">, CUP </w:t>
      </w:r>
      <w:r w:rsidR="00B5672E">
        <w:rPr>
          <w:rFonts w:eastAsia="Calibri" w:cstheme="minorHAnsi"/>
          <w:bCs/>
          <w:lang w:val="it-IT"/>
        </w:rPr>
        <w:t>F94D22003030006</w:t>
      </w:r>
      <w:r w:rsidR="00D81EF7" w:rsidRPr="00A85B3D">
        <w:rPr>
          <w:rFonts w:eastAsia="Calibri" w:cstheme="minorHAnsi"/>
          <w:bCs/>
          <w:lang w:val="it-IT"/>
        </w:rPr>
        <w:t>)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>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="005D1599" w:rsidRPr="005D1599">
        <w:rPr>
          <w:rFonts w:cstheme="minorHAnsi"/>
          <w:i/>
          <w:iCs/>
          <w:lang w:val="it-IT"/>
        </w:rPr>
        <w:t xml:space="preserve">Azione 1: Next generation </w:t>
      </w:r>
      <w:proofErr w:type="spellStart"/>
      <w:r w:rsidR="005D1599" w:rsidRPr="005D1599">
        <w:rPr>
          <w:rFonts w:cstheme="minorHAnsi"/>
          <w:i/>
          <w:iCs/>
          <w:lang w:val="it-IT"/>
        </w:rPr>
        <w:t>classrooms</w:t>
      </w:r>
      <w:proofErr w:type="spellEnd"/>
      <w:r w:rsidR="005D1599" w:rsidRPr="005D1599">
        <w:rPr>
          <w:rFonts w:cstheme="minorHAnsi"/>
          <w:i/>
          <w:iCs/>
          <w:lang w:val="it-IT"/>
        </w:rPr>
        <w:t xml:space="preserve"> - Ambienti di apprendimento innovativi</w:t>
      </w:r>
      <w:r w:rsidR="005D1599" w:rsidRPr="005D1599">
        <w:rPr>
          <w:rFonts w:cstheme="minorHAnsi"/>
          <w:lang w:val="it-IT"/>
        </w:rPr>
        <w:t>”</w:t>
      </w:r>
      <w:r w:rsidR="005D1599" w:rsidRPr="00CB3FC9">
        <w:rPr>
          <w:rFonts w:cstheme="minorHAnsi"/>
          <w:lang w:val="it-IT"/>
        </w:rPr>
        <w:t>,</w:t>
      </w:r>
      <w:r w:rsidR="00B54D5A">
        <w:rPr>
          <w:rFonts w:cstheme="minorHAnsi"/>
          <w:lang w:val="it-IT"/>
        </w:rPr>
        <w:t xml:space="preserve"> finanziato dall’Unione europea – </w:t>
      </w:r>
      <w:r w:rsidR="00B54D5A" w:rsidRPr="00B54D5A">
        <w:rPr>
          <w:rFonts w:cstheme="minorHAnsi"/>
          <w:i/>
          <w:iCs/>
          <w:lang w:val="it-IT"/>
        </w:rPr>
        <w:t>Next Generation EU</w:t>
      </w:r>
    </w:p>
    <w:p w14:paraId="0DB56B58" w14:textId="4C5B980C" w:rsidR="00747C34" w:rsidRPr="00A85B3D" w:rsidRDefault="00DA36A1" w:rsidP="003D3692">
      <w:pPr>
        <w:spacing w:after="160" w:line="256" w:lineRule="auto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10FCC164" w:rsidR="008B3050" w:rsidRPr="003D3692" w:rsidRDefault="008B3050" w:rsidP="003D3692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320E2A8B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 xml:space="preserve">dell’Istituto </w:t>
      </w:r>
      <w:r w:rsidR="00B5672E">
        <w:rPr>
          <w:rFonts w:ascii="Calibri" w:hAnsi="Calibri" w:cs="Calibri"/>
          <w:sz w:val="22"/>
          <w:szCs w:val="22"/>
        </w:rPr>
        <w:t>Liceo Classico Statale Francesco Stelluti - Fabriano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esilienza, Missione 4 – Istruzione e ricerca, Componente 1 – Potenziamento dell’offerta dei servizi di istruzione: dagli asili nido alle università – Investimento 3.2 Scuola 4.0. Scuole innovative, cablaggio, nuovi ambienti di apprendimento e laboratori” – “Azione 1: Next generation </w:t>
      </w:r>
      <w:proofErr w:type="spellStart"/>
      <w:r w:rsidR="009D45D1" w:rsidRPr="009D45D1">
        <w:rPr>
          <w:rFonts w:ascii="Calibri" w:hAnsi="Calibri" w:cs="Calibri"/>
          <w:sz w:val="22"/>
          <w:szCs w:val="22"/>
        </w:rPr>
        <w:t>classrooms</w:t>
      </w:r>
      <w:proofErr w:type="spellEnd"/>
      <w:r w:rsidR="009D45D1" w:rsidRPr="009D45D1">
        <w:rPr>
          <w:rFonts w:ascii="Calibri" w:hAnsi="Calibri" w:cs="Calibri"/>
          <w:sz w:val="22"/>
          <w:szCs w:val="22"/>
        </w:rPr>
        <w:t xml:space="preserve"> - Ambienti di apprendimento innovativi</w:t>
      </w:r>
      <w:r w:rsidR="00B5672E" w:rsidRPr="00B5672E">
        <w:rPr>
          <w:rFonts w:ascii="Calibri" w:hAnsi="Calibri" w:cs="Calibri"/>
          <w:sz w:val="22"/>
          <w:szCs w:val="22"/>
        </w:rPr>
        <w:t xml:space="preserve"> </w:t>
      </w:r>
      <w:r w:rsidR="00B5672E" w:rsidRPr="00B5672E">
        <w:rPr>
          <w:rFonts w:ascii="Calibri" w:hAnsi="Calibri" w:cs="Calibri"/>
          <w:sz w:val="22"/>
          <w:szCs w:val="22"/>
        </w:rPr>
        <w:t>finanziato dall’Unione europea – Next Generation EU</w:t>
      </w:r>
      <w:r w:rsidR="00B54D5A">
        <w:rPr>
          <w:rFonts w:ascii="Calibri" w:hAnsi="Calibri" w:cs="Calibri"/>
          <w:sz w:val="22"/>
          <w:szCs w:val="22"/>
        </w:rPr>
        <w:t xml:space="preserve">, </w:t>
      </w:r>
      <w:r w:rsidR="00A95CA4" w:rsidRPr="005D1599">
        <w:rPr>
          <w:rFonts w:ascii="Calibri" w:hAnsi="Calibri" w:cs="Calibri"/>
          <w:sz w:val="22"/>
          <w:szCs w:val="22"/>
        </w:rPr>
        <w:t>l’impegno 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7463A327" w14:textId="629B517B" w:rsidR="005D3AD5" w:rsidRPr="005D3AD5" w:rsidRDefault="00A95CA4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r</w:t>
      </w:r>
      <w:r w:rsidR="003D3692" w:rsidRPr="003D3692">
        <w:rPr>
          <w:rFonts w:ascii="Calibri" w:hAnsi="Calibri" w:cs="Calibri"/>
          <w:sz w:val="22"/>
          <w:szCs w:val="22"/>
        </w:rPr>
        <w:t>ispettare</w:t>
      </w:r>
      <w:r>
        <w:rPr>
          <w:rFonts w:ascii="Calibri" w:hAnsi="Calibri" w:cs="Calibri"/>
          <w:sz w:val="22"/>
          <w:szCs w:val="22"/>
        </w:rPr>
        <w:t xml:space="preserve"> </w:t>
      </w:r>
      <w:r w:rsidR="003D3692" w:rsidRPr="003D3692">
        <w:rPr>
          <w:rFonts w:ascii="Calibri" w:hAnsi="Calibri" w:cs="Calibri"/>
          <w:sz w:val="22"/>
          <w:szCs w:val="22"/>
        </w:rPr>
        <w:t>l</w:t>
      </w:r>
      <w:r w:rsidR="005D3AD5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2C76DAC2" w:rsidR="003D3692" w:rsidRPr="005D3AD5" w:rsidRDefault="005D3AD5" w:rsidP="00A95CA4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rispettare le </w:t>
      </w:r>
      <w:r w:rsidR="003D3692" w:rsidRPr="003D3692">
        <w:rPr>
          <w:rFonts w:ascii="Calibri" w:hAnsi="Calibri" w:cs="Calibri"/>
          <w:sz w:val="22"/>
          <w:szCs w:val="22"/>
        </w:rPr>
        <w:t xml:space="preserve">indicazioni </w:t>
      </w:r>
      <w:r w:rsidR="00A95CA4">
        <w:rPr>
          <w:rFonts w:ascii="Calibri" w:hAnsi="Calibri" w:cs="Calibri"/>
          <w:sz w:val="22"/>
          <w:szCs w:val="22"/>
        </w:rPr>
        <w:t xml:space="preserve">relative </w:t>
      </w:r>
      <w:r w:rsidR="003D3692" w:rsidRPr="003D3692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>
        <w:rPr>
          <w:rFonts w:ascii="Calibri" w:hAnsi="Calibri" w:cs="Calibri"/>
          <w:sz w:val="22"/>
          <w:szCs w:val="22"/>
        </w:rPr>
        <w:t xml:space="preserve"> (</w:t>
      </w:r>
      <w:r w:rsidRPr="005D1599">
        <w:rPr>
          <w:rFonts w:ascii="Calibri" w:hAnsi="Calibri" w:cs="Calibri"/>
          <w:sz w:val="22"/>
          <w:szCs w:val="22"/>
        </w:rPr>
        <w:t xml:space="preserve">DNSH </w:t>
      </w:r>
      <w:r>
        <w:rPr>
          <w:rFonts w:ascii="Calibri" w:hAnsi="Calibri" w:cs="Calibri"/>
          <w:sz w:val="22"/>
          <w:szCs w:val="22"/>
        </w:rPr>
        <w:t xml:space="preserve">- </w:t>
      </w:r>
      <w:r w:rsidRPr="005D3AD5">
        <w:rPr>
          <w:rFonts w:ascii="Calibri" w:hAnsi="Calibri" w:cs="Calibri"/>
          <w:i/>
          <w:iCs/>
          <w:sz w:val="22"/>
          <w:szCs w:val="22"/>
        </w:rPr>
        <w:t xml:space="preserve">Do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not</w:t>
      </w:r>
      <w:proofErr w:type="spellEnd"/>
      <w:r w:rsidRPr="005D3AD5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significant</w:t>
      </w:r>
      <w:proofErr w:type="spellEnd"/>
      <w:r w:rsidRPr="005D3AD5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5D3AD5">
        <w:rPr>
          <w:rFonts w:ascii="Calibri" w:hAnsi="Calibri" w:cs="Calibri"/>
          <w:i/>
          <w:iCs/>
          <w:sz w:val="22"/>
          <w:szCs w:val="22"/>
        </w:rPr>
        <w:t>harm</w:t>
      </w:r>
      <w:proofErr w:type="spellEnd"/>
      <w:r w:rsidRPr="005D1599">
        <w:rPr>
          <w:rFonts w:ascii="Calibri" w:hAnsi="Calibri" w:cs="Calibri"/>
          <w:sz w:val="22"/>
          <w:szCs w:val="22"/>
        </w:rPr>
        <w:t>)</w:t>
      </w:r>
      <w:r w:rsidR="003D3692" w:rsidRPr="003D3692">
        <w:rPr>
          <w:rFonts w:ascii="Calibri" w:hAnsi="Calibri" w:cs="Calibri"/>
          <w:sz w:val="22"/>
          <w:szCs w:val="22"/>
        </w:rPr>
        <w:t>, ai sensi dell'art</w:t>
      </w:r>
      <w:r w:rsidR="0035656B">
        <w:rPr>
          <w:rFonts w:ascii="Calibri" w:hAnsi="Calibri" w:cs="Calibri"/>
          <w:sz w:val="22"/>
          <w:szCs w:val="22"/>
        </w:rPr>
        <w:t>.</w:t>
      </w:r>
      <w:r w:rsidR="003D3692" w:rsidRPr="003D3692">
        <w:rPr>
          <w:rFonts w:ascii="Calibri" w:hAnsi="Calibri" w:cs="Calibri"/>
          <w:sz w:val="22"/>
          <w:szCs w:val="22"/>
        </w:rPr>
        <w:t xml:space="preserve"> 17 del Reg. (UE) 2020/85</w:t>
      </w:r>
      <w:r w:rsidR="003D3692">
        <w:rPr>
          <w:rFonts w:ascii="Calibri" w:hAnsi="Calibri" w:cs="Calibri"/>
          <w:sz w:val="22"/>
          <w:szCs w:val="22"/>
        </w:rPr>
        <w:t>;</w:t>
      </w:r>
    </w:p>
    <w:p w14:paraId="1946CF5E" w14:textId="7EF36FBD" w:rsidR="005D3AD5" w:rsidRPr="005D3AD5" w:rsidRDefault="005D3AD5" w:rsidP="008330C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>ecreto del Ministro dell’ambiente della tutela del territorio e del mare di concerto con il Ministro dello sviluppo economico e dell’economia e delle 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2DC9C895" w14:textId="6684030E" w:rsidR="003D3692" w:rsidRPr="005D1599" w:rsidRDefault="003D3692" w:rsidP="00DE57F2">
      <w:pPr>
        <w:pStyle w:val="Default"/>
        <w:numPr>
          <w:ilvl w:val="0"/>
          <w:numId w:val="32"/>
        </w:numPr>
        <w:spacing w:before="120" w:after="120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p w14:paraId="6BB7EC6D" w14:textId="77777777" w:rsidR="009D45D1" w:rsidRPr="009D45D1" w:rsidRDefault="009D45D1" w:rsidP="009D45D1">
      <w:pPr>
        <w:pStyle w:val="Default"/>
        <w:spacing w:before="120" w:after="120"/>
        <w:ind w:left="770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lastRenderedPageBreak/>
              <w:t>_____________________________</w:t>
            </w:r>
          </w:p>
        </w:tc>
        <w:tc>
          <w:tcPr>
            <w:tcW w:w="4981" w:type="dxa"/>
          </w:tcPr>
          <w:p w14:paraId="1024CAFE" w14:textId="78FCF3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______________________________</w:t>
            </w:r>
          </w:p>
        </w:tc>
      </w:tr>
    </w:tbl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B5672E">
      <w:footerReference w:type="default" r:id="rId7"/>
      <w:pgSz w:w="12240" w:h="15840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59202784">
    <w:abstractNumId w:val="10"/>
  </w:num>
  <w:num w:numId="2" w16cid:durableId="2105879048">
    <w:abstractNumId w:val="16"/>
  </w:num>
  <w:num w:numId="3" w16cid:durableId="142893870">
    <w:abstractNumId w:val="18"/>
  </w:num>
  <w:num w:numId="4" w16cid:durableId="2030636691">
    <w:abstractNumId w:val="19"/>
  </w:num>
  <w:num w:numId="5" w16cid:durableId="129591112">
    <w:abstractNumId w:val="0"/>
  </w:num>
  <w:num w:numId="6" w16cid:durableId="949971846">
    <w:abstractNumId w:val="28"/>
  </w:num>
  <w:num w:numId="7" w16cid:durableId="583612622">
    <w:abstractNumId w:val="2"/>
  </w:num>
  <w:num w:numId="8" w16cid:durableId="2897222">
    <w:abstractNumId w:val="4"/>
  </w:num>
  <w:num w:numId="9" w16cid:durableId="662969321">
    <w:abstractNumId w:val="27"/>
  </w:num>
  <w:num w:numId="10" w16cid:durableId="519317603">
    <w:abstractNumId w:val="24"/>
  </w:num>
  <w:num w:numId="11" w16cid:durableId="32507356">
    <w:abstractNumId w:val="1"/>
  </w:num>
  <w:num w:numId="12" w16cid:durableId="115563617">
    <w:abstractNumId w:val="9"/>
  </w:num>
  <w:num w:numId="13" w16cid:durableId="460148974">
    <w:abstractNumId w:val="13"/>
  </w:num>
  <w:num w:numId="14" w16cid:durableId="172884523">
    <w:abstractNumId w:val="3"/>
  </w:num>
  <w:num w:numId="15" w16cid:durableId="668286774">
    <w:abstractNumId w:val="8"/>
  </w:num>
  <w:num w:numId="16" w16cid:durableId="704595159">
    <w:abstractNumId w:val="20"/>
  </w:num>
  <w:num w:numId="17" w16cid:durableId="1739128869">
    <w:abstractNumId w:val="31"/>
  </w:num>
  <w:num w:numId="18" w16cid:durableId="979502134">
    <w:abstractNumId w:val="5"/>
  </w:num>
  <w:num w:numId="19" w16cid:durableId="1400011063">
    <w:abstractNumId w:val="6"/>
  </w:num>
  <w:num w:numId="20" w16cid:durableId="1712803010">
    <w:abstractNumId w:val="17"/>
  </w:num>
  <w:num w:numId="21" w16cid:durableId="741488074">
    <w:abstractNumId w:val="29"/>
  </w:num>
  <w:num w:numId="22" w16cid:durableId="1093284835">
    <w:abstractNumId w:val="12"/>
  </w:num>
  <w:num w:numId="23" w16cid:durableId="245845018">
    <w:abstractNumId w:val="15"/>
  </w:num>
  <w:num w:numId="24" w16cid:durableId="1271233674">
    <w:abstractNumId w:val="22"/>
  </w:num>
  <w:num w:numId="25" w16cid:durableId="1184855041">
    <w:abstractNumId w:val="7"/>
  </w:num>
  <w:num w:numId="26" w16cid:durableId="192423016">
    <w:abstractNumId w:val="21"/>
  </w:num>
  <w:num w:numId="27" w16cid:durableId="714545574">
    <w:abstractNumId w:val="23"/>
  </w:num>
  <w:num w:numId="28" w16cid:durableId="2104572877">
    <w:abstractNumId w:val="11"/>
  </w:num>
  <w:num w:numId="29" w16cid:durableId="1806462432">
    <w:abstractNumId w:val="30"/>
  </w:num>
  <w:num w:numId="30" w16cid:durableId="1682971266">
    <w:abstractNumId w:val="14"/>
  </w:num>
  <w:num w:numId="31" w16cid:durableId="517698839">
    <w:abstractNumId w:val="25"/>
  </w:num>
  <w:num w:numId="32" w16cid:durableId="1992462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104E8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87C13"/>
    <w:rsid w:val="00795149"/>
    <w:rsid w:val="00795785"/>
    <w:rsid w:val="0079757F"/>
    <w:rsid w:val="007C05A8"/>
    <w:rsid w:val="007D61F6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72E"/>
    <w:rsid w:val="00B56DAB"/>
    <w:rsid w:val="00BA27A3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B3FC9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2023-10-19T09:28:00Z</dcterms:created>
  <dcterms:modified xsi:type="dcterms:W3CDTF">2023-10-25T11:55:00Z</dcterms:modified>
</cp:coreProperties>
</file>