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45" w:rsidRPr="00DB3BD6" w:rsidRDefault="00D42B45" w:rsidP="00D42B45">
      <w:pPr>
        <w:jc w:val="center"/>
        <w:rPr>
          <w:b/>
        </w:rPr>
      </w:pPr>
      <w:bookmarkStart w:id="0" w:name="_GoBack"/>
      <w:bookmarkEnd w:id="0"/>
      <w:r w:rsidRPr="00DB3BD6">
        <w:rPr>
          <w:b/>
        </w:rPr>
        <w:t xml:space="preserve">DICHIARAZIONE SOSTITUTIVA DELL’ATTO </w:t>
      </w:r>
      <w:proofErr w:type="spellStart"/>
      <w:r w:rsidRPr="00DB3BD6">
        <w:rPr>
          <w:b/>
        </w:rPr>
        <w:t>DI</w:t>
      </w:r>
      <w:proofErr w:type="spellEnd"/>
      <w:r w:rsidRPr="00DB3BD6">
        <w:rPr>
          <w:b/>
        </w:rPr>
        <w:t xml:space="preserve"> NOTORIETA’</w:t>
      </w:r>
    </w:p>
    <w:p w:rsidR="00D42B45" w:rsidRPr="00DB3BD6" w:rsidRDefault="00D42B45" w:rsidP="00D42B45">
      <w:pPr>
        <w:jc w:val="center"/>
        <w:rPr>
          <w:b/>
          <w:lang w:val="fr-FR"/>
        </w:rPr>
      </w:pPr>
      <w:r w:rsidRPr="00DB3BD6">
        <w:rPr>
          <w:b/>
          <w:lang w:val="fr-FR"/>
        </w:rPr>
        <w:t xml:space="preserve">(Art.47 D.P.R. 28 </w:t>
      </w:r>
      <w:proofErr w:type="spellStart"/>
      <w:r w:rsidRPr="00DB3BD6">
        <w:rPr>
          <w:b/>
          <w:lang w:val="fr-FR"/>
        </w:rPr>
        <w:t>dicembre</w:t>
      </w:r>
      <w:proofErr w:type="spellEnd"/>
      <w:r w:rsidRPr="00DB3BD6">
        <w:rPr>
          <w:b/>
          <w:lang w:val="fr-FR"/>
        </w:rPr>
        <w:t xml:space="preserve"> 2000, n.445</w:t>
      </w:r>
      <w:r w:rsidR="00F9262A">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proofErr w:type="spellStart"/>
      <w:r w:rsidRPr="00DB3BD6">
        <w:rPr>
          <w:rFonts w:ascii="Times New Roman" w:hAnsi="Times New Roman" w:cs="Times New Roman"/>
          <w:b/>
          <w:bCs/>
          <w:color w:val="auto"/>
        </w:rPr>
        <w:t>d.lgs</w:t>
      </w:r>
      <w:proofErr w:type="spellEnd"/>
      <w:r w:rsidRPr="00DB3BD6">
        <w:rPr>
          <w:rFonts w:ascii="Times New Roman" w:hAnsi="Times New Roman" w:cs="Times New Roman"/>
          <w:b/>
          <w:bCs/>
          <w:color w:val="auto"/>
        </w:rPr>
        <w:t xml:space="preserve">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 xml:space="preserve">Il/La sottoscritto/a ___________________________________________________________________ Cod. </w:t>
      </w:r>
      <w:proofErr w:type="spellStart"/>
      <w:r w:rsidRPr="00DB3BD6">
        <w:rPr>
          <w:sz w:val="22"/>
          <w:szCs w:val="22"/>
        </w:rPr>
        <w:t>Fisc</w:t>
      </w:r>
      <w:proofErr w:type="spellEnd"/>
      <w:r w:rsidRPr="00DB3BD6">
        <w:rPr>
          <w:sz w:val="22"/>
          <w:szCs w:val="22"/>
        </w:rPr>
        <w:t>.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ai fini della partecipazione alla procedura </w:t>
      </w:r>
      <w:r w:rsidR="00C16C24" w:rsidRPr="00DB3BD6">
        <w:rPr>
          <w:sz w:val="22"/>
          <w:szCs w:val="22"/>
        </w:rPr>
        <w:t xml:space="preserve">indetta dal Comune di </w:t>
      </w:r>
      <w:proofErr w:type="spellStart"/>
      <w:r w:rsidR="00C16C24" w:rsidRPr="00DB3BD6">
        <w:rPr>
          <w:sz w:val="22"/>
          <w:szCs w:val="22"/>
        </w:rPr>
        <w:t>Ferla</w:t>
      </w:r>
      <w:proofErr w:type="spellEnd"/>
      <w:r w:rsidR="00C16C24">
        <w:rPr>
          <w:sz w:val="22"/>
          <w:szCs w:val="22"/>
        </w:rPr>
        <w:t xml:space="preserve"> riguardante l’acquisizione di migliore preventivo di spesa </w:t>
      </w:r>
      <w:r w:rsidR="00C16C24" w:rsidRPr="00C16C24">
        <w:rPr>
          <w:sz w:val="22"/>
          <w:szCs w:val="22"/>
        </w:rPr>
        <w:t>per il servizio di analisi delle acque destinate al consumo umano,</w:t>
      </w:r>
      <w:r w:rsidR="00C16C24">
        <w:rPr>
          <w:sz w:val="22"/>
          <w:szCs w:val="22"/>
        </w:rPr>
        <w:t xml:space="preserve"> </w:t>
      </w:r>
      <w:r w:rsidR="00C16C24" w:rsidRPr="00C16C24">
        <w:rPr>
          <w:sz w:val="22"/>
          <w:szCs w:val="22"/>
        </w:rPr>
        <w:t>delle acque in ingresso ed in uscita del depuratore comunale, del vaglio e sabbie, nonché dei fanghi del processo di depurazione</w:t>
      </w:r>
      <w:r w:rsidR="00C16C24" w:rsidRPr="00DB3BD6">
        <w:rPr>
          <w:sz w:val="22"/>
          <w:szCs w:val="22"/>
        </w:rPr>
        <w:t>,</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w:t>
      </w:r>
      <w:r w:rsidRPr="00DB3BD6">
        <w:rPr>
          <w:sz w:val="22"/>
          <w:szCs w:val="22"/>
        </w:rPr>
        <w:lastRenderedPageBreak/>
        <w:t>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lastRenderedPageBreak/>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 xml:space="preserve">sanzione </w:t>
      </w:r>
      <w:proofErr w:type="spellStart"/>
      <w:r w:rsidRPr="00DB3BD6">
        <w:rPr>
          <w:rFonts w:ascii="Times New Roman" w:hAnsi="Times New Roman"/>
        </w:rPr>
        <w:t>interdittiva</w:t>
      </w:r>
      <w:proofErr w:type="spellEnd"/>
      <w:r w:rsidRPr="00DB3BD6">
        <w:rPr>
          <w:rFonts w:ascii="Times New Roman" w:hAnsi="Times New Roman"/>
        </w:rPr>
        <w:t xml:space="preserve"> di cui all'articolo 9, comma 2, lettera c) del decreto legislativo 8 giugno 2001, n. 231 o ad altra sanzione che comporta il divieto di contrarre con la pubblica amministrazione, compresi i provvedimenti </w:t>
      </w:r>
      <w:proofErr w:type="spellStart"/>
      <w:r w:rsidRPr="00DB3BD6">
        <w:rPr>
          <w:rFonts w:ascii="Times New Roman" w:hAnsi="Times New Roman"/>
        </w:rPr>
        <w:t>interdittivi</w:t>
      </w:r>
      <w:proofErr w:type="spellEnd"/>
      <w:r w:rsidRPr="00DB3BD6">
        <w:rPr>
          <w:rFonts w:ascii="Times New Roman" w:hAnsi="Times New Roman"/>
        </w:rPr>
        <w:t xml:space="preserve">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deltesto"/>
        <w:rPr>
          <w:sz w:val="22"/>
          <w:szCs w:val="22"/>
        </w:rPr>
      </w:pPr>
    </w:p>
    <w:p w:rsidR="0090032E" w:rsidRPr="0090032E" w:rsidRDefault="0090032E" w:rsidP="0090032E">
      <w:pPr>
        <w:pStyle w:val="Corpodel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 xml:space="preserve">he l’impresa è in possesso dei requisiti di cui al comma 1, </w:t>
      </w:r>
      <w:proofErr w:type="spellStart"/>
      <w:r w:rsidRPr="0090032E">
        <w:rPr>
          <w:rFonts w:ascii="Times New Roman" w:hAnsi="Times New Roman"/>
          <w:sz w:val="22"/>
          <w:szCs w:val="22"/>
        </w:rPr>
        <w:t>lett</w:t>
      </w:r>
      <w:proofErr w:type="spellEnd"/>
      <w:r w:rsidRPr="0090032E">
        <w:rPr>
          <w:rFonts w:ascii="Times New Roman" w:hAnsi="Times New Roman"/>
          <w:sz w:val="22"/>
          <w:szCs w:val="22"/>
        </w:rPr>
        <w:t xml:space="preserve">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deltesto"/>
        <w:rPr>
          <w:sz w:val="22"/>
          <w:szCs w:val="22"/>
        </w:rPr>
      </w:pPr>
    </w:p>
    <w:p w:rsidR="003D5867" w:rsidRPr="00DB3BD6" w:rsidRDefault="003D5867" w:rsidP="00DB3BD6">
      <w:pPr>
        <w:autoSpaceDE w:val="0"/>
        <w:autoSpaceDN w:val="0"/>
        <w:adjustRightInd w:val="0"/>
        <w:ind w:firstLine="360"/>
        <w:jc w:val="both"/>
      </w:pPr>
      <w:r w:rsidRPr="00DB3BD6">
        <w:rPr>
          <w:sz w:val="22"/>
          <w:szCs w:val="22"/>
        </w:rPr>
        <w:t xml:space="preserve">Dichiara infine di essere informato, ai sensi e per gli effetti di cui all’art. 13 del </w:t>
      </w:r>
      <w:proofErr w:type="spellStart"/>
      <w:r w:rsidRPr="00DB3BD6">
        <w:rPr>
          <w:sz w:val="22"/>
          <w:szCs w:val="22"/>
        </w:rPr>
        <w:t>D.Lgs.</w:t>
      </w:r>
      <w:proofErr w:type="spellEnd"/>
      <w:r w:rsidRPr="00DB3BD6">
        <w:rPr>
          <w:sz w:val="22"/>
          <w:szCs w:val="22"/>
        </w:rPr>
        <w:t xml:space="preserve">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del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Pr="00DB3BD6" w:rsidRDefault="003D5867" w:rsidP="00DB3BD6">
      <w:pPr>
        <w:rPr>
          <w:sz w:val="22"/>
          <w:szCs w:val="22"/>
        </w:rPr>
      </w:pPr>
    </w:p>
    <w:sectPr w:rsidR="003D5867" w:rsidRPr="00DB3BD6" w:rsidSect="000850EF">
      <w:pgSz w:w="11906" w:h="16838"/>
      <w:pgMar w:top="568"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BC" w:rsidRDefault="00933CBC">
      <w:r>
        <w:separator/>
      </w:r>
    </w:p>
  </w:endnote>
  <w:endnote w:type="continuationSeparator" w:id="0">
    <w:p w:rsidR="00933CBC" w:rsidRDefault="00933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BC" w:rsidRDefault="00933CBC">
      <w:r>
        <w:separator/>
      </w:r>
    </w:p>
  </w:footnote>
  <w:footnote w:type="continuationSeparator" w:id="0">
    <w:p w:rsidR="00933CBC" w:rsidRDefault="00933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hyphenationZone w:val="283"/>
  <w:noPunctuationKerning/>
  <w:characterSpacingControl w:val="doNotCompress"/>
  <w:hdrShapeDefaults>
    <o:shapedefaults v:ext="edit" spidmax="15361"/>
  </w:hdrShapeDefaults>
  <w:footnotePr>
    <w:footnote w:id="-1"/>
    <w:footnote w:id="0"/>
  </w:footnotePr>
  <w:endnotePr>
    <w:endnote w:id="-1"/>
    <w:endnote w:id="0"/>
  </w:endnotePr>
  <w:compat/>
  <w:rsids>
    <w:rsidRoot w:val="00306BCE"/>
    <w:rsid w:val="00024E36"/>
    <w:rsid w:val="00054076"/>
    <w:rsid w:val="000723C0"/>
    <w:rsid w:val="00083761"/>
    <w:rsid w:val="000850EF"/>
    <w:rsid w:val="000A252B"/>
    <w:rsid w:val="000C58CD"/>
    <w:rsid w:val="000D047C"/>
    <w:rsid w:val="000E4913"/>
    <w:rsid w:val="000E6181"/>
    <w:rsid w:val="00103885"/>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759E3"/>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B2"/>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77B7B"/>
    <w:rsid w:val="006A738B"/>
    <w:rsid w:val="006B19B8"/>
    <w:rsid w:val="006E2F29"/>
    <w:rsid w:val="006E6729"/>
    <w:rsid w:val="00710559"/>
    <w:rsid w:val="00721C57"/>
    <w:rsid w:val="007277F0"/>
    <w:rsid w:val="00737005"/>
    <w:rsid w:val="007429FC"/>
    <w:rsid w:val="00765251"/>
    <w:rsid w:val="00776CBC"/>
    <w:rsid w:val="007869FD"/>
    <w:rsid w:val="008254FE"/>
    <w:rsid w:val="00866A14"/>
    <w:rsid w:val="00870061"/>
    <w:rsid w:val="0087670A"/>
    <w:rsid w:val="008B0B74"/>
    <w:rsid w:val="008B35B1"/>
    <w:rsid w:val="008B46E6"/>
    <w:rsid w:val="008C65F4"/>
    <w:rsid w:val="008E7922"/>
    <w:rsid w:val="0090032E"/>
    <w:rsid w:val="00906B4A"/>
    <w:rsid w:val="00912870"/>
    <w:rsid w:val="00914FB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2594C"/>
    <w:rsid w:val="00B57A2B"/>
    <w:rsid w:val="00B73E3C"/>
    <w:rsid w:val="00B84575"/>
    <w:rsid w:val="00BD1D77"/>
    <w:rsid w:val="00BE00F3"/>
    <w:rsid w:val="00BF300E"/>
    <w:rsid w:val="00C13515"/>
    <w:rsid w:val="00C16C24"/>
    <w:rsid w:val="00C841AA"/>
    <w:rsid w:val="00CC7CBB"/>
    <w:rsid w:val="00CF0A87"/>
    <w:rsid w:val="00D22A3C"/>
    <w:rsid w:val="00D26F84"/>
    <w:rsid w:val="00D42B45"/>
    <w:rsid w:val="00D553D1"/>
    <w:rsid w:val="00D6531A"/>
    <w:rsid w:val="00D851F3"/>
    <w:rsid w:val="00D94436"/>
    <w:rsid w:val="00D94D27"/>
    <w:rsid w:val="00DA1A7C"/>
    <w:rsid w:val="00DA2DC8"/>
    <w:rsid w:val="00DA6AB8"/>
    <w:rsid w:val="00DA76A7"/>
    <w:rsid w:val="00DB3BD6"/>
    <w:rsid w:val="00E00A5C"/>
    <w:rsid w:val="00E30413"/>
    <w:rsid w:val="00E36254"/>
    <w:rsid w:val="00E37EA3"/>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673B0"/>
    <w:rsid w:val="00F86719"/>
    <w:rsid w:val="00F9262A"/>
    <w:rsid w:val="00FA51F8"/>
    <w:rsid w:val="00FB0F23"/>
    <w:rsid w:val="00FC6888"/>
    <w:rsid w:val="00FD78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3D1"/>
    <w:rPr>
      <w:sz w:val="24"/>
      <w:szCs w:val="24"/>
    </w:rPr>
  </w:style>
  <w:style w:type="paragraph" w:styleId="Titolo1">
    <w:name w:val="heading 1"/>
    <w:basedOn w:val="Normale"/>
    <w:next w:val="Normale"/>
    <w:qFormat/>
    <w:rsid w:val="00D553D1"/>
    <w:pPr>
      <w:keepNext/>
      <w:jc w:val="center"/>
      <w:outlineLvl w:val="0"/>
    </w:pPr>
    <w:rPr>
      <w:b/>
      <w:spacing w:val="40"/>
      <w:sz w:val="48"/>
      <w:szCs w:val="20"/>
    </w:rPr>
  </w:style>
  <w:style w:type="paragraph" w:styleId="Titolo2">
    <w:name w:val="heading 2"/>
    <w:basedOn w:val="Normale"/>
    <w:next w:val="Normale"/>
    <w:qFormat/>
    <w:rsid w:val="00D553D1"/>
    <w:pPr>
      <w:keepNext/>
      <w:jc w:val="center"/>
      <w:outlineLvl w:val="1"/>
    </w:pPr>
    <w:rPr>
      <w:b/>
      <w:bCs/>
      <w:i/>
      <w:iCs/>
      <w:sz w:val="28"/>
      <w:u w:val="single"/>
    </w:rPr>
  </w:style>
  <w:style w:type="paragraph" w:styleId="Titolo3">
    <w:name w:val="heading 3"/>
    <w:basedOn w:val="Normale"/>
    <w:next w:val="Normale"/>
    <w:qFormat/>
    <w:rsid w:val="00D553D1"/>
    <w:pPr>
      <w:keepNext/>
      <w:jc w:val="center"/>
      <w:outlineLvl w:val="2"/>
    </w:pPr>
    <w:rPr>
      <w:i/>
      <w:iCs/>
      <w:sz w:val="32"/>
    </w:rPr>
  </w:style>
  <w:style w:type="paragraph" w:styleId="Titolo4">
    <w:name w:val="heading 4"/>
    <w:basedOn w:val="Normale"/>
    <w:next w:val="Normale"/>
    <w:qFormat/>
    <w:rsid w:val="00D553D1"/>
    <w:pPr>
      <w:keepNext/>
      <w:outlineLvl w:val="3"/>
    </w:pPr>
    <w:rPr>
      <w:rFonts w:ascii="Trebuchet MS" w:hAnsi="Trebuchet MS"/>
      <w:i/>
      <w:iCs/>
      <w:sz w:val="32"/>
    </w:rPr>
  </w:style>
  <w:style w:type="paragraph" w:styleId="Titolo5">
    <w:name w:val="heading 5"/>
    <w:basedOn w:val="Normale"/>
    <w:next w:val="Normale"/>
    <w:qFormat/>
    <w:rsid w:val="00D553D1"/>
    <w:pPr>
      <w:keepNext/>
      <w:outlineLvl w:val="4"/>
    </w:pPr>
    <w:rPr>
      <w:szCs w:val="20"/>
    </w:rPr>
  </w:style>
  <w:style w:type="paragraph" w:styleId="Titolo6">
    <w:name w:val="heading 6"/>
    <w:basedOn w:val="Normale"/>
    <w:next w:val="Normale"/>
    <w:qFormat/>
    <w:rsid w:val="00D553D1"/>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553D1"/>
    <w:pPr>
      <w:tabs>
        <w:tab w:val="center" w:pos="4819"/>
        <w:tab w:val="right" w:pos="9638"/>
      </w:tabs>
    </w:pPr>
  </w:style>
  <w:style w:type="paragraph" w:styleId="Pidipagina">
    <w:name w:val="footer"/>
    <w:basedOn w:val="Normale"/>
    <w:rsid w:val="00D553D1"/>
    <w:pPr>
      <w:tabs>
        <w:tab w:val="center" w:pos="4819"/>
        <w:tab w:val="right" w:pos="9638"/>
      </w:tabs>
    </w:pPr>
  </w:style>
  <w:style w:type="character" w:styleId="Collegamentoipertestuale">
    <w:name w:val="Hyperlink"/>
    <w:basedOn w:val="Carpredefinitoparagrafo"/>
    <w:rsid w:val="00D553D1"/>
    <w:rPr>
      <w:color w:val="0000FF"/>
      <w:u w:val="single"/>
    </w:rPr>
  </w:style>
  <w:style w:type="character" w:styleId="Rimandocommento">
    <w:name w:val="annotation reference"/>
    <w:basedOn w:val="Carpredefinitoparagrafo"/>
    <w:semiHidden/>
    <w:rsid w:val="00D553D1"/>
    <w:rPr>
      <w:sz w:val="16"/>
      <w:szCs w:val="16"/>
    </w:rPr>
  </w:style>
  <w:style w:type="paragraph" w:styleId="Testocommento">
    <w:name w:val="annotation text"/>
    <w:basedOn w:val="Normale"/>
    <w:semiHidden/>
    <w:rsid w:val="00D553D1"/>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deltesto">
    <w:name w:val="Body Text"/>
    <w:basedOn w:val="Normale"/>
    <w:link w:val="CorpodeltestoCarattere"/>
    <w:rsid w:val="000723C0"/>
    <w:pPr>
      <w:jc w:val="both"/>
    </w:pPr>
    <w:rPr>
      <w:rFonts w:ascii="Verdana" w:hAnsi="Verdana"/>
      <w:sz w:val="14"/>
      <w:szCs w:val="20"/>
      <w:lang w:bidi="he-IL"/>
    </w:rPr>
  </w:style>
  <w:style w:type="character" w:customStyle="1" w:styleId="CorpodeltestoCarattere">
    <w:name w:val="Corpo del testo Carattere"/>
    <w:basedOn w:val="Carpredefinitoparagrafo"/>
    <w:link w:val="Corpodel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1812</Words>
  <Characters>10790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Giovanna Carbone</cp:lastModifiedBy>
  <cp:revision>2</cp:revision>
  <cp:lastPrinted>2017-04-06T10:04:00Z</cp:lastPrinted>
  <dcterms:created xsi:type="dcterms:W3CDTF">2023-01-14T11:26:00Z</dcterms:created>
  <dcterms:modified xsi:type="dcterms:W3CDTF">2023-01-14T11:26:00Z</dcterms:modified>
</cp:coreProperties>
</file>