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7A28E" w14:textId="6C58A780"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>DICHIARAZIONE REQUISITI DI ORDINE GENERALE</w:t>
      </w:r>
    </w:p>
    <w:p w14:paraId="7D83ED43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49320EB6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206B4133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</w:t>
      </w:r>
      <w:proofErr w:type="gramStart"/>
      <w:r w:rsidR="00677430">
        <w:rPr>
          <w:rFonts w:ascii="Calibri" w:hAnsi="Calibri"/>
          <w:sz w:val="24"/>
          <w:szCs w:val="24"/>
        </w:rPr>
        <w:t>…..</w:t>
      </w:r>
      <w:r w:rsidRPr="00677430">
        <w:rPr>
          <w:rFonts w:ascii="Calibri" w:hAnsi="Calibri"/>
          <w:sz w:val="24"/>
          <w:szCs w:val="24"/>
        </w:rPr>
        <w:t>..</w:t>
      </w:r>
      <w:proofErr w:type="gramEnd"/>
      <w:r w:rsidRPr="00677430">
        <w:rPr>
          <w:rFonts w:ascii="Calibri" w:hAnsi="Calibri"/>
          <w:sz w:val="24"/>
          <w:szCs w:val="24"/>
        </w:rPr>
        <w:t>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 xml:space="preserve">………....    </w:t>
      </w:r>
      <w:proofErr w:type="gramStart"/>
      <w:r w:rsidRPr="00677430">
        <w:rPr>
          <w:rFonts w:ascii="Calibri" w:hAnsi="Calibri"/>
          <w:sz w:val="24"/>
          <w:szCs w:val="24"/>
        </w:rPr>
        <w:t>nato</w:t>
      </w:r>
      <w:proofErr w:type="gramEnd"/>
      <w:r w:rsidRPr="00677430">
        <w:rPr>
          <w:rFonts w:ascii="Calibri" w:hAnsi="Calibri"/>
          <w:sz w:val="24"/>
          <w:szCs w:val="24"/>
        </w:rPr>
        <w:t xml:space="preserve"> a ……….………..…………………..</w:t>
      </w:r>
    </w:p>
    <w:p w14:paraId="4DB0F64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il</w:t>
      </w:r>
      <w:proofErr w:type="gramEnd"/>
      <w:r w:rsidRPr="00677430">
        <w:rPr>
          <w:rFonts w:ascii="Calibri" w:hAnsi="Calibri"/>
          <w:sz w:val="24"/>
          <w:szCs w:val="24"/>
        </w:rPr>
        <w:t xml:space="preserve">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 xml:space="preserve">.…………..……….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8E4D6D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 xml:space="preserve">... </w:t>
      </w:r>
      <w:proofErr w:type="gramStart"/>
      <w:r w:rsidRPr="00677430">
        <w:rPr>
          <w:rFonts w:ascii="Calibri" w:hAnsi="Calibri"/>
          <w:sz w:val="24"/>
          <w:szCs w:val="24"/>
        </w:rPr>
        <w:t>CAP  …</w:t>
      </w:r>
      <w:proofErr w:type="gramEnd"/>
      <w:r w:rsidRPr="00677430">
        <w:rPr>
          <w:rFonts w:ascii="Calibri" w:hAnsi="Calibri"/>
          <w:sz w:val="24"/>
          <w:szCs w:val="24"/>
        </w:rPr>
        <w:t>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E12AFC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nella</w:t>
      </w:r>
      <w:proofErr w:type="gramEnd"/>
      <w:r w:rsidRPr="00677430">
        <w:rPr>
          <w:rFonts w:ascii="Calibri" w:hAnsi="Calibri"/>
          <w:sz w:val="24"/>
          <w:szCs w:val="24"/>
        </w:rPr>
        <w:t xml:space="preserve">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4DEF2011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proofErr w:type="gramStart"/>
      <w:r w:rsidRPr="00677430">
        <w:rPr>
          <w:rFonts w:ascii="Calibri" w:hAnsi="Calibri"/>
          <w:i/>
          <w:sz w:val="24"/>
          <w:szCs w:val="24"/>
        </w:rPr>
        <w:t>se</w:t>
      </w:r>
      <w:proofErr w:type="gramEnd"/>
      <w:r w:rsidRPr="00677430">
        <w:rPr>
          <w:rFonts w:ascii="Calibri" w:hAnsi="Calibri"/>
          <w:i/>
          <w:sz w:val="24"/>
          <w:szCs w:val="24"/>
        </w:rPr>
        <w:t xml:space="preserve">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69AE08C9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dell’impresa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5493F45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con</w:t>
      </w:r>
      <w:proofErr w:type="gramEnd"/>
      <w:r w:rsidRPr="00677430">
        <w:rPr>
          <w:rFonts w:ascii="Calibri" w:hAnsi="Calibri"/>
          <w:sz w:val="24"/>
          <w:szCs w:val="24"/>
        </w:rPr>
        <w:t xml:space="preserve">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4B1187F8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7A9A112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0391F49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1622240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7CC8A459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e-mail</w:t>
      </w:r>
      <w:proofErr w:type="gramEnd"/>
      <w:r>
        <w:rPr>
          <w:rFonts w:ascii="Calibri" w:hAnsi="Calibri"/>
          <w:sz w:val="24"/>
          <w:szCs w:val="24"/>
        </w:rPr>
        <w:t>…………………………………………......... PEC…………………………………………………………………………………….</w:t>
      </w:r>
    </w:p>
    <w:p w14:paraId="3855E5E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2612389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39D1216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proofErr w:type="gramStart"/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</w:t>
      </w:r>
      <w:proofErr w:type="gramEnd"/>
      <w:r w:rsidR="00864E97" w:rsidRPr="00677430">
        <w:rPr>
          <w:rFonts w:ascii="Calibri" w:hAnsi="Calibri"/>
          <w:b/>
          <w:sz w:val="24"/>
          <w:szCs w:val="24"/>
        </w:rPr>
        <w:t xml:space="preserve">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6BCBD598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05CE0EF3" w14:textId="77777777"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2034F4" w14:textId="77777777"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che</w:t>
      </w:r>
      <w:proofErr w:type="gramEnd"/>
      <w:r w:rsidRPr="00677430">
        <w:rPr>
          <w:rFonts w:ascii="Calibri" w:hAnsi="Calibri"/>
          <w:sz w:val="24"/>
          <w:szCs w:val="24"/>
        </w:rPr>
        <w:t xml:space="preserve">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proofErr w:type="spellStart"/>
      <w:r w:rsidRPr="00677430">
        <w:rPr>
          <w:rFonts w:ascii="Calibri" w:hAnsi="Calibri"/>
          <w:sz w:val="24"/>
          <w:szCs w:val="24"/>
        </w:rPr>
        <w:t>Lgs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14:paraId="679C42B7" w14:textId="77777777"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0B84AA8" w14:textId="77777777" w:rsidR="005B6CF9" w:rsidRPr="005B6CF9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</w:t>
      </w:r>
      <w:proofErr w:type="gramStart"/>
      <w:r>
        <w:rPr>
          <w:rFonts w:ascii="Calibri" w:hAnsi="Calibri"/>
          <w:b/>
          <w:sz w:val="24"/>
          <w:szCs w:val="24"/>
        </w:rPr>
        <w:t>1</w:t>
      </w:r>
      <w:r w:rsidRPr="00677430">
        <w:rPr>
          <w:rFonts w:ascii="Calibri" w:hAnsi="Calibri"/>
          <w:b/>
          <w:sz w:val="24"/>
          <w:szCs w:val="24"/>
        </w:rPr>
        <w:t>)</w:t>
      </w:r>
      <w:r w:rsidRPr="00677430">
        <w:rPr>
          <w:rFonts w:ascii="Calibri" w:hAnsi="Calibri"/>
          <w:sz w:val="24"/>
          <w:szCs w:val="24"/>
        </w:rPr>
        <w:tab/>
      </w:r>
      <w:proofErr w:type="gramEnd"/>
      <w:r w:rsidRPr="005B6CF9">
        <w:rPr>
          <w:rFonts w:ascii="Calibri" w:hAnsi="Calibri" w:cs="Helvetica"/>
          <w:sz w:val="24"/>
          <w:szCs w:val="24"/>
        </w:rPr>
        <w:t xml:space="preserve">di </w:t>
      </w:r>
      <w:r>
        <w:rPr>
          <w:rFonts w:ascii="Calibri" w:hAnsi="Calibri" w:cs="Helvetica"/>
          <w:sz w:val="24"/>
          <w:szCs w:val="24"/>
        </w:rPr>
        <w:t>essere a piena e diretta conoscenza che nessuno dei soggetti soprain</w:t>
      </w:r>
      <w:r w:rsidR="0025459A">
        <w:rPr>
          <w:rFonts w:ascii="Calibri" w:hAnsi="Calibri" w:cs="Helvetica"/>
          <w:sz w:val="24"/>
          <w:szCs w:val="24"/>
        </w:rPr>
        <w:t xml:space="preserve">dicati </w:t>
      </w:r>
      <w:r>
        <w:rPr>
          <w:rFonts w:ascii="Calibri" w:hAnsi="Calibri" w:cs="Helvetica"/>
          <w:sz w:val="24"/>
          <w:szCs w:val="24"/>
        </w:rPr>
        <w:t xml:space="preserve">ha </w:t>
      </w:r>
      <w:r w:rsidRPr="005B6CF9">
        <w:rPr>
          <w:rFonts w:ascii="Calibri" w:hAnsi="Calibri" w:cs="Helvetica"/>
          <w:sz w:val="24"/>
          <w:szCs w:val="24"/>
        </w:rPr>
        <w:t xml:space="preserve">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proofErr w:type="gramStart"/>
      <w:r w:rsidRPr="0045572E">
        <w:rPr>
          <w:rFonts w:ascii="Calibri" w:hAnsi="Calibri"/>
          <w:sz w:val="24"/>
          <w:szCs w:val="24"/>
        </w:rPr>
        <w:t>delitti</w:t>
      </w:r>
      <w:proofErr w:type="gramEnd"/>
      <w:r w:rsidRPr="0045572E">
        <w:rPr>
          <w:rFonts w:ascii="Calibri" w:hAnsi="Calibri"/>
          <w:sz w:val="24"/>
          <w:szCs w:val="24"/>
        </w:rPr>
        <w:t xml:space="preserve">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</w:t>
      </w:r>
      <w:proofErr w:type="spellStart"/>
      <w:r w:rsidRPr="0045572E">
        <w:rPr>
          <w:rFonts w:ascii="Calibri" w:hAnsi="Calibri"/>
          <w:sz w:val="24"/>
          <w:szCs w:val="24"/>
        </w:rPr>
        <w:t>D.Lgs.</w:t>
      </w:r>
      <w:proofErr w:type="spellEnd"/>
      <w:r w:rsidRPr="0045572E">
        <w:rPr>
          <w:rFonts w:ascii="Calibri" w:hAnsi="Calibri"/>
          <w:sz w:val="24"/>
          <w:szCs w:val="24"/>
        </w:rPr>
        <w:t xml:space="preserve">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14:paraId="671EAC2B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14:paraId="1EBFC930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frode ai sensi dell’art. 1 della convenzione relativa alla tutela degli interessi finanziari delle Comunità europee;</w:t>
      </w:r>
    </w:p>
    <w:p w14:paraId="3E95E8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lastRenderedPageBreak/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 di cui agli articoli 648-bis, 648-ter e 648-ter.1 del codice penale,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proofErr w:type="spellStart"/>
      <w:r w:rsidRPr="0045572E">
        <w:rPr>
          <w:rFonts w:ascii="Calibri" w:hAnsi="Calibri"/>
          <w:sz w:val="24"/>
          <w:szCs w:val="24"/>
        </w:rPr>
        <w:t>Lgs</w:t>
      </w:r>
      <w:proofErr w:type="spellEnd"/>
      <w:r w:rsidRPr="0045572E">
        <w:rPr>
          <w:rFonts w:ascii="Calibri" w:hAnsi="Calibri"/>
          <w:sz w:val="24"/>
          <w:szCs w:val="24"/>
        </w:rPr>
        <w:t>. 22 giugno 2007, n. 109 e successive modificazioni;</w:t>
      </w:r>
    </w:p>
    <w:p w14:paraId="7DDD85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proofErr w:type="spellStart"/>
      <w:r w:rsidRPr="0045572E">
        <w:rPr>
          <w:rFonts w:ascii="Calibri" w:hAnsi="Calibri"/>
          <w:sz w:val="24"/>
          <w:szCs w:val="24"/>
        </w:rPr>
        <w:t>Lgs</w:t>
      </w:r>
      <w:proofErr w:type="spellEnd"/>
      <w:r w:rsidRPr="0045572E">
        <w:rPr>
          <w:rFonts w:ascii="Calibri" w:hAnsi="Calibri"/>
          <w:sz w:val="24"/>
          <w:szCs w:val="24"/>
        </w:rPr>
        <w:t>. 4 marzo 2014, n. 24;</w:t>
      </w:r>
    </w:p>
    <w:p w14:paraId="3659F986" w14:textId="77777777"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14:paraId="34C6483F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14:paraId="35CE6610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proofErr w:type="spellStart"/>
      <w:r w:rsidRPr="00677430">
        <w:rPr>
          <w:rFonts w:ascii="Calibri" w:hAnsi="Calibri"/>
        </w:rPr>
        <w:t>che</w:t>
      </w:r>
      <w:proofErr w:type="spellEnd"/>
      <w:r w:rsidRPr="00677430">
        <w:rPr>
          <w:rFonts w:ascii="Calibri" w:hAnsi="Calibri"/>
        </w:rPr>
        <w:t xml:space="preserve">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14:paraId="4A2E5119" w14:textId="77777777"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(2)</w:t>
      </w:r>
      <w:r w:rsidRPr="00677430">
        <w:rPr>
          <w:rFonts w:ascii="Calibri" w:hAnsi="Calibri"/>
        </w:rPr>
        <w:t xml:space="preserve">____________________________________________________________________________ </w:t>
      </w:r>
      <w:r>
        <w:rPr>
          <w:rFonts w:ascii="Calibri" w:hAnsi="Calibri"/>
        </w:rPr>
        <w:t xml:space="preserve">    </w:t>
      </w:r>
    </w:p>
    <w:p w14:paraId="6DEA0B63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14:paraId="46C3D6F7" w14:textId="77777777"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14:paraId="621AA143" w14:textId="77777777"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14:paraId="32A977E2" w14:textId="77777777"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A68EC33" w14:textId="77777777" w:rsidR="002B1508" w:rsidRPr="0045572E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>A2)</w:t>
      </w:r>
      <w:r w:rsidRPr="0045572E">
        <w:rPr>
          <w:rFonts w:ascii="Calibri" w:hAnsi="Calibri"/>
          <w:sz w:val="24"/>
          <w:szCs w:val="24"/>
        </w:rPr>
        <w:tab/>
      </w:r>
      <w:r w:rsidRPr="0045572E">
        <w:rPr>
          <w:rFonts w:ascii="Calibri" w:hAnsi="Calibri" w:cs="Helvetica"/>
          <w:sz w:val="24"/>
          <w:szCs w:val="24"/>
        </w:rPr>
        <w:t>di essere a piena e diretta conoscenza dell</w:t>
      </w:r>
      <w:r w:rsidRPr="0045572E">
        <w:rPr>
          <w:rFonts w:ascii="Calibri" w:hAnsi="Calibri" w:cs="Helvetica"/>
          <w:bCs/>
          <w:sz w:val="24"/>
          <w:szCs w:val="24"/>
        </w:rPr>
        <w:t>’ i</w:t>
      </w:r>
      <w:r w:rsidRPr="0045572E">
        <w:rPr>
          <w:rFonts w:ascii="Calibri" w:hAnsi="Calibri" w:cs="Helvetica"/>
          <w:sz w:val="24"/>
          <w:szCs w:val="24"/>
        </w:rPr>
        <w:t xml:space="preserve">nsussistenza, ai sensi dell’art. 80, comma 2, D. </w:t>
      </w:r>
      <w:proofErr w:type="spellStart"/>
      <w:r w:rsidRPr="0045572E">
        <w:rPr>
          <w:rFonts w:ascii="Calibri" w:hAnsi="Calibri" w:cs="Helvetica"/>
          <w:sz w:val="24"/>
          <w:szCs w:val="24"/>
        </w:rPr>
        <w:t>Lgs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. 50/2016, delle cause di decadenza, di sospensione o di divieto previste dall’articolo 67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6 settembre 2011, n. 159 o di un tentativo di infiltrazione mafiosa di cui all’articolo 84, comma 4, del medesimo decreto per i soggetti sopraindicati ai numeri  3 e  5; </w:t>
      </w:r>
    </w:p>
    <w:p w14:paraId="163A24DD" w14:textId="77777777"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4FA4FEF0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A3) </w:t>
      </w:r>
      <w:r w:rsidRPr="0045572E">
        <w:rPr>
          <w:rFonts w:ascii="Calibri" w:hAnsi="Calibri"/>
          <w:sz w:val="24"/>
          <w:szCs w:val="24"/>
        </w:rPr>
        <w:t xml:space="preserve">di non aver commesso, ai sensi dell’art. 80, comma 4, </w:t>
      </w:r>
      <w:proofErr w:type="spellStart"/>
      <w:r w:rsidRPr="0045572E">
        <w:rPr>
          <w:rFonts w:ascii="Calibri" w:hAnsi="Calibri"/>
          <w:sz w:val="24"/>
          <w:szCs w:val="24"/>
        </w:rPr>
        <w:t>D.Lgs.</w:t>
      </w:r>
      <w:proofErr w:type="spellEnd"/>
      <w:r w:rsidRPr="0045572E">
        <w:rPr>
          <w:rFonts w:ascii="Calibri" w:hAnsi="Calibri"/>
          <w:sz w:val="24"/>
          <w:szCs w:val="24"/>
        </w:rPr>
        <w:t xml:space="preserve">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14:paraId="13D5E53F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A4) </w:t>
      </w:r>
      <w:r w:rsidRPr="0045572E">
        <w:rPr>
          <w:rFonts w:ascii="Calibri" w:hAnsi="Calibri"/>
          <w:sz w:val="24"/>
          <w:szCs w:val="24"/>
        </w:rPr>
        <w:t xml:space="preserve">di non incorrere in nessuna delle cause di esclusione dalle procedure di affidamento di appalti pubblici di cui all’art. 80, comma 5, </w:t>
      </w:r>
      <w:proofErr w:type="spellStart"/>
      <w:r w:rsidRPr="0045572E">
        <w:rPr>
          <w:rFonts w:ascii="Calibri" w:hAnsi="Calibri"/>
          <w:sz w:val="24"/>
          <w:szCs w:val="24"/>
        </w:rPr>
        <w:t>D.Lgs.</w:t>
      </w:r>
      <w:proofErr w:type="spellEnd"/>
      <w:r w:rsidRPr="0045572E">
        <w:rPr>
          <w:rFonts w:ascii="Calibri" w:hAnsi="Calibri"/>
          <w:sz w:val="24"/>
          <w:szCs w:val="24"/>
        </w:rPr>
        <w:t xml:space="preserve"> 50/2016, e in particolare:</w:t>
      </w:r>
    </w:p>
    <w:p w14:paraId="0FC8548B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comma 3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50/2016;</w:t>
      </w:r>
    </w:p>
    <w:p w14:paraId="136003E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quanto previsto dall’articolo 110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50/2016;</w:t>
      </w:r>
    </w:p>
    <w:p w14:paraId="6581AF18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risoluzione anticipata, non 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condanna al risarcimento del danno 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indebitamente il processo decisionale della </w:t>
      </w:r>
      <w:r w:rsidRPr="0045572E">
        <w:rPr>
          <w:rFonts w:ascii="Calibri" w:hAnsi="Calibri" w:cs="Helvetica"/>
          <w:sz w:val="24"/>
          <w:szCs w:val="24"/>
        </w:rPr>
        <w:lastRenderedPageBreak/>
        <w:t>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14:paraId="3B271C3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di interesse ai sensi dell’articolo 42, comma 2,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14:paraId="6671299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5, lettera e),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50/2016;</w:t>
      </w:r>
    </w:p>
    <w:p w14:paraId="1E54682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 xml:space="preserve">di non essere stato soggetto alla sanzione </w:t>
      </w:r>
      <w:proofErr w:type="spellStart"/>
      <w:r w:rsidRPr="0045572E">
        <w:rPr>
          <w:rFonts w:ascii="Calibri" w:hAnsi="Calibri" w:cs="Helvetica"/>
          <w:sz w:val="24"/>
          <w:szCs w:val="24"/>
        </w:rPr>
        <w:t>interdittiva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provvedimenti </w:t>
      </w:r>
      <w:proofErr w:type="spellStart"/>
      <w:r w:rsidRPr="0045572E">
        <w:rPr>
          <w:rFonts w:ascii="Calibri" w:hAnsi="Calibri" w:cs="Helvetica"/>
          <w:sz w:val="24"/>
          <w:szCs w:val="24"/>
        </w:rPr>
        <w:t>interdittivi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14:paraId="272BACA1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14:paraId="518A72E1" w14:textId="77777777" w:rsidR="00083F60" w:rsidRPr="00677430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h)</w:t>
      </w:r>
      <w:r w:rsidRPr="00183473">
        <w:rPr>
          <w:rFonts w:ascii="Calibri" w:hAnsi="Calibri"/>
          <w:sz w:val="24"/>
          <w:szCs w:val="24"/>
        </w:rPr>
        <w:tab/>
        <w:t>che: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>
        <w:rPr>
          <w:rFonts w:ascii="Calibri" w:hAnsi="Calibri"/>
          <w:b/>
          <w:i/>
          <w:sz w:val="24"/>
          <w:szCs w:val="24"/>
        </w:rPr>
        <w:t xml:space="preserve">cerchietto </w:t>
      </w:r>
      <w:r w:rsidRPr="00677430">
        <w:rPr>
          <w:rFonts w:ascii="Calibri" w:hAnsi="Calibri"/>
          <w:b/>
          <w:i/>
          <w:sz w:val="24"/>
          <w:szCs w:val="24"/>
        </w:rPr>
        <w:t>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47660C23" w14:textId="77777777"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14:paraId="30EC71DC" w14:textId="77777777"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14:paraId="79D8C1E9" w14:textId="77777777"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che, nel caso di avvenuta violazione del divieto di intestazione fiduciaria posto  dall’art.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14:paraId="0B94024E" w14:textId="77777777" w:rsidR="00083F60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i)</w:t>
      </w:r>
      <w:r w:rsidRPr="00677430">
        <w:rPr>
          <w:rFonts w:ascii="Calibri" w:hAnsi="Calibri"/>
          <w:sz w:val="24"/>
          <w:szCs w:val="24"/>
        </w:rPr>
        <w:tab/>
        <w:t xml:space="preserve">di essere in regola con le norme che disciplinano il diritto al lavoro dei disabili </w:t>
      </w:r>
    </w:p>
    <w:p w14:paraId="48292B26" w14:textId="77777777" w:rsidR="00083F60" w:rsidRPr="00677430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l)</w:t>
      </w:r>
      <w:r w:rsidRPr="00677430">
        <w:rPr>
          <w:rFonts w:ascii="Calibri" w:hAnsi="Calibri"/>
          <w:sz w:val="24"/>
          <w:szCs w:val="24"/>
        </w:rPr>
        <w:t xml:space="preserve"> che i soggett</w:t>
      </w:r>
      <w:r w:rsidR="0025459A">
        <w:rPr>
          <w:rFonts w:ascii="Calibri" w:hAnsi="Calibri"/>
          <w:sz w:val="24"/>
          <w:szCs w:val="24"/>
        </w:rPr>
        <w:t xml:space="preserve">i sopra indicati al numero 3 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6E692F36" w14:textId="77777777"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>non sono stati vittime dei reati previsti e puniti dagli artt. 317 e 629 del codice penale aggravati ai sensi dell’art. 7 del D.L. n. 152/1991, convertito, con modificazioni, dalla L. n. 203/1991;</w:t>
      </w:r>
    </w:p>
    <w:p w14:paraId="544525B9" w14:textId="77777777"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14:paraId="7BC514D4" w14:textId="77777777"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pur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14:paraId="52BCF510" w14:textId="77777777" w:rsidR="00083F60" w:rsidRPr="00677430" w:rsidRDefault="00083F60" w:rsidP="0045572E">
      <w:pPr>
        <w:ind w:left="360"/>
        <w:jc w:val="both"/>
        <w:rPr>
          <w:rFonts w:ascii="Calibri" w:hAnsi="Calibri"/>
          <w:i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m)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36123DF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color w:val="000000"/>
          <w:sz w:val="24"/>
          <w:szCs w:val="24"/>
        </w:rPr>
        <w:t xml:space="preserve">di non trovarsi in alcuna situazione di controllo di cui all’articolo 2359 del Codice Civile con alcun soggetto e di aver formulato l’offerta autonomamente </w:t>
      </w:r>
    </w:p>
    <w:p w14:paraId="74DF9CFE" w14:textId="77777777"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4196B6EE" w14:textId="77777777"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4DF4AFA3" w14:textId="77777777"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14:paraId="3F02DEA0" w14:textId="77777777"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14:paraId="6C2374DE" w14:textId="77777777"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27475333" w14:textId="77777777"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764F8A6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lastRenderedPageBreak/>
        <w:t>di essere a conoscenza della partecipazione alla medesima procedura di soggetti che si trovano, rispetto al concorrente dichiarante, in situazione di controllo di cui all'articolo 2359 del Codice Civile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14:paraId="647D0760" w14:textId="77777777"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B90E131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083F60" w:rsidRPr="00EB6A55">
        <w:rPr>
          <w:rFonts w:ascii="Calibri" w:hAnsi="Calibri"/>
          <w:b/>
          <w:sz w:val="24"/>
          <w:szCs w:val="24"/>
        </w:rPr>
        <w:t>)</w:t>
      </w:r>
      <w:r w:rsidR="00083F60" w:rsidRPr="00EB6A55">
        <w:rPr>
          <w:rFonts w:ascii="Calibri" w:hAnsi="Calibri"/>
          <w:sz w:val="24"/>
          <w:szCs w:val="24"/>
        </w:rPr>
        <w:t xml:space="preserve"> ai sensi dell’art. 53 comma 16-ter del D. </w:t>
      </w:r>
      <w:proofErr w:type="spellStart"/>
      <w:r w:rsidR="00083F60" w:rsidRPr="00EB6A55">
        <w:rPr>
          <w:rFonts w:ascii="Calibri" w:hAnsi="Calibri"/>
          <w:sz w:val="24"/>
          <w:szCs w:val="24"/>
        </w:rPr>
        <w:t>Lgs</w:t>
      </w:r>
      <w:proofErr w:type="spellEnd"/>
      <w:r w:rsidR="00083F60" w:rsidRPr="00EB6A55">
        <w:rPr>
          <w:rFonts w:ascii="Calibri" w:hAnsi="Calibri"/>
          <w:sz w:val="24"/>
          <w:szCs w:val="24"/>
        </w:rPr>
        <w:t xml:space="preserve">. 165/2001 e </w:t>
      </w:r>
      <w:proofErr w:type="spellStart"/>
      <w:r w:rsidR="00083F60" w:rsidRPr="00EB6A55">
        <w:rPr>
          <w:rFonts w:ascii="Calibri" w:hAnsi="Calibri"/>
          <w:sz w:val="24"/>
          <w:szCs w:val="24"/>
        </w:rPr>
        <w:t>s.m.i.</w:t>
      </w:r>
      <w:proofErr w:type="spellEnd"/>
      <w:r w:rsidR="00083F60" w:rsidRPr="00EB6A55">
        <w:rPr>
          <w:rFonts w:ascii="Calibri" w:hAnsi="Calibri"/>
          <w:sz w:val="24"/>
          <w:szCs w:val="24"/>
        </w:rPr>
        <w:t>, come introdotto dalla L. 6.11.2012 n. 190,  che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78011961" w14:textId="77777777" w:rsidR="00083F60" w:rsidRPr="00677430" w:rsidRDefault="00F04172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083F60" w:rsidRPr="00F06AD6">
        <w:rPr>
          <w:rFonts w:ascii="Calibri" w:hAnsi="Calibri"/>
          <w:b/>
          <w:sz w:val="24"/>
          <w:szCs w:val="24"/>
        </w:rPr>
        <w:t xml:space="preserve">) </w:t>
      </w:r>
      <w:r w:rsidR="00083F60"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 w:rsidR="00083F60">
        <w:rPr>
          <w:rFonts w:ascii="Calibri" w:hAnsi="Calibri"/>
          <w:sz w:val="24"/>
          <w:szCs w:val="24"/>
        </w:rPr>
        <w:t xml:space="preserve"> esecuzione </w:t>
      </w:r>
      <w:r>
        <w:rPr>
          <w:rFonts w:ascii="Calibri" w:hAnsi="Calibri"/>
          <w:sz w:val="24"/>
          <w:szCs w:val="24"/>
        </w:rPr>
        <w:t>del servizio</w:t>
      </w:r>
      <w:r w:rsidR="00083F60">
        <w:rPr>
          <w:rFonts w:ascii="Calibri" w:hAnsi="Calibri"/>
          <w:sz w:val="24"/>
          <w:szCs w:val="24"/>
        </w:rPr>
        <w:t xml:space="preserve"> in oggetto di cui </w:t>
      </w:r>
      <w:r w:rsidR="00083F60" w:rsidRPr="00677430">
        <w:rPr>
          <w:rFonts w:ascii="Calibri" w:hAnsi="Calibri"/>
          <w:sz w:val="24"/>
          <w:szCs w:val="24"/>
        </w:rPr>
        <w:t>all’art. 26,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comma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1 lettera a)</w:t>
      </w:r>
      <w:r w:rsidR="00083F60">
        <w:rPr>
          <w:rFonts w:ascii="Calibri" w:hAnsi="Calibri"/>
          <w:sz w:val="24"/>
          <w:szCs w:val="24"/>
        </w:rPr>
        <w:t xml:space="preserve"> punto 2)</w:t>
      </w:r>
      <w:r w:rsidR="00083F60" w:rsidRPr="00677430">
        <w:rPr>
          <w:rFonts w:ascii="Calibri" w:hAnsi="Calibri"/>
          <w:sz w:val="24"/>
          <w:szCs w:val="24"/>
        </w:rPr>
        <w:t xml:space="preserve"> del D.</w:t>
      </w:r>
      <w:r w:rsidR="00083F60">
        <w:rPr>
          <w:rFonts w:ascii="Calibri" w:hAnsi="Calibri"/>
          <w:sz w:val="24"/>
          <w:szCs w:val="24"/>
        </w:rPr>
        <w:t xml:space="preserve"> </w:t>
      </w:r>
      <w:proofErr w:type="spellStart"/>
      <w:r w:rsidR="00083F60" w:rsidRPr="00677430">
        <w:rPr>
          <w:rFonts w:ascii="Calibri" w:hAnsi="Calibri"/>
          <w:sz w:val="24"/>
          <w:szCs w:val="24"/>
        </w:rPr>
        <w:t>Lgs</w:t>
      </w:r>
      <w:proofErr w:type="spellEnd"/>
      <w:r w:rsidR="00083F60" w:rsidRPr="00677430">
        <w:rPr>
          <w:rFonts w:ascii="Calibri" w:hAnsi="Calibri"/>
          <w:sz w:val="24"/>
          <w:szCs w:val="24"/>
        </w:rPr>
        <w:t>. 81 del 09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04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2008 e successive modifiche ed integrazioni;</w:t>
      </w:r>
    </w:p>
    <w:p w14:paraId="5D379F30" w14:textId="77777777"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9E2E581" w14:textId="77777777" w:rsidR="00083F60" w:rsidRPr="00677430" w:rsidRDefault="00083F60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INOLTRE:</w:t>
      </w:r>
    </w:p>
    <w:p w14:paraId="508B6360" w14:textId="77777777"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0E7027BB" w14:textId="77777777" w:rsidR="00083F60" w:rsidRPr="00677430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</w:t>
      </w:r>
      <w:r w:rsidR="00083F60" w:rsidRPr="00677430">
        <w:rPr>
          <w:rFonts w:ascii="Calibri" w:hAnsi="Calibri"/>
          <w:b/>
          <w:sz w:val="24"/>
          <w:szCs w:val="24"/>
        </w:rPr>
        <w:t xml:space="preserve">) </w:t>
      </w:r>
      <w:r w:rsidR="00083F60" w:rsidRPr="00677430">
        <w:rPr>
          <w:rFonts w:ascii="Calibri" w:hAnsi="Calibri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3EA2140D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="00083F60" w:rsidRPr="00677430">
        <w:rPr>
          <w:rFonts w:ascii="Calibri" w:hAnsi="Calibri"/>
          <w:b/>
          <w:sz w:val="24"/>
          <w:szCs w:val="24"/>
        </w:rPr>
        <w:t>)</w:t>
      </w:r>
      <w:r w:rsidR="00083F60" w:rsidRPr="00677430">
        <w:rPr>
          <w:rFonts w:ascii="Calibri" w:hAnsi="Calibri"/>
          <w:sz w:val="24"/>
          <w:szCs w:val="24"/>
        </w:rPr>
        <w:t xml:space="preserve"> di assumere a proprio carico tutti gli oneri assicurativi e previdenziali di legge e di osservare le norme vigenti in materia di sicurezza sul lavoro e di retribuz</w:t>
      </w:r>
      <w:r w:rsidR="00083F60">
        <w:rPr>
          <w:rFonts w:ascii="Calibri" w:hAnsi="Calibri"/>
          <w:sz w:val="24"/>
          <w:szCs w:val="24"/>
        </w:rPr>
        <w:t>ione dei  lavoratori dipendenti;</w:t>
      </w:r>
    </w:p>
    <w:p w14:paraId="6AE815C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4996CE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10)</w:t>
      </w:r>
      <w:r>
        <w:rPr>
          <w:rFonts w:ascii="Calibri" w:hAnsi="Calibri"/>
          <w:sz w:val="24"/>
          <w:szCs w:val="24"/>
        </w:rPr>
        <w:t xml:space="preserve"> Di autorizzare l’istituzione scolastica, quale stazione appaltante ad effettuare le comunicazioni di cui all’art. 76 del </w:t>
      </w:r>
      <w:proofErr w:type="spellStart"/>
      <w:r>
        <w:rPr>
          <w:rFonts w:ascii="Calibri" w:hAnsi="Calibri"/>
          <w:sz w:val="24"/>
          <w:szCs w:val="24"/>
        </w:rPr>
        <w:t>Dlgs</w:t>
      </w:r>
      <w:proofErr w:type="spellEnd"/>
      <w:r>
        <w:rPr>
          <w:rFonts w:ascii="Calibri" w:hAnsi="Calibri"/>
          <w:sz w:val="24"/>
          <w:szCs w:val="24"/>
        </w:rPr>
        <w:t>. 50/2016 a mezzo PEC all’indirizzo comunicato nella istanza di partecipazione</w:t>
      </w:r>
    </w:p>
    <w:p w14:paraId="6CF4D248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0733FC9C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11)</w:t>
      </w:r>
      <w:r>
        <w:rPr>
          <w:rFonts w:ascii="Calibri" w:hAnsi="Calibri"/>
          <w:sz w:val="24"/>
          <w:szCs w:val="24"/>
        </w:rPr>
        <w:t xml:space="preserve"> Di </w:t>
      </w:r>
      <w:r w:rsidR="00921F85">
        <w:rPr>
          <w:rFonts w:ascii="Calibri" w:hAnsi="Calibri"/>
          <w:sz w:val="24"/>
          <w:szCs w:val="24"/>
        </w:rPr>
        <w:t xml:space="preserve">aver preso visione delle condizioni indicate </w:t>
      </w:r>
      <w:r w:rsidR="008D4EED">
        <w:rPr>
          <w:rFonts w:ascii="Calibri" w:hAnsi="Calibri"/>
          <w:sz w:val="24"/>
          <w:szCs w:val="24"/>
        </w:rPr>
        <w:t xml:space="preserve">nell’ordine </w:t>
      </w:r>
      <w:r w:rsidR="00921F85">
        <w:rPr>
          <w:rFonts w:ascii="Calibri" w:hAnsi="Calibri"/>
          <w:sz w:val="24"/>
          <w:szCs w:val="24"/>
        </w:rPr>
        <w:t xml:space="preserve"> e di accettarle espressamente e incondizionatamente</w:t>
      </w:r>
    </w:p>
    <w:p w14:paraId="706EA83D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0391582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14:paraId="08FB050E" w14:textId="77777777"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0FDA1FC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14:paraId="3D3C075B" w14:textId="77777777"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42F2FA7C" w14:textId="77777777" w:rsidR="00083F60" w:rsidRDefault="00F04172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___________                                     </w:t>
      </w:r>
      <w:r w:rsidR="00A158B2">
        <w:rPr>
          <w:rFonts w:ascii="Calibri" w:hAnsi="Calibri"/>
          <w:sz w:val="24"/>
          <w:szCs w:val="24"/>
        </w:rPr>
        <w:t xml:space="preserve">                           </w:t>
      </w:r>
      <w:r w:rsidRPr="00677430">
        <w:rPr>
          <w:rFonts w:ascii="Calibri" w:hAnsi="Calibri"/>
          <w:bCs/>
          <w:sz w:val="24"/>
          <w:szCs w:val="24"/>
        </w:rPr>
        <w:t>Timbro</w:t>
      </w:r>
      <w:r>
        <w:rPr>
          <w:rFonts w:ascii="Calibri" w:hAnsi="Calibri"/>
          <w:bCs/>
          <w:sz w:val="24"/>
          <w:szCs w:val="24"/>
        </w:rPr>
        <w:t xml:space="preserve"> e firma</w:t>
      </w:r>
      <w:r w:rsidRPr="00677430">
        <w:rPr>
          <w:rFonts w:ascii="Calibri" w:hAnsi="Calibri"/>
          <w:bCs/>
          <w:sz w:val="24"/>
          <w:szCs w:val="24"/>
        </w:rPr>
        <w:t xml:space="preserve"> della ditta</w:t>
      </w:r>
    </w:p>
    <w:p w14:paraId="7E804B5F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AD88409" w14:textId="77777777" w:rsidR="00083F60" w:rsidRPr="00677430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>__________________________</w:t>
      </w:r>
      <w:r w:rsidR="00A158B2"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ab/>
      </w:r>
    </w:p>
    <w:p w14:paraId="7F4DFEF2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6E3A7429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DE87A" w14:textId="77777777" w:rsidR="00D97A23" w:rsidRDefault="00D97A23">
      <w:r>
        <w:separator/>
      </w:r>
    </w:p>
  </w:endnote>
  <w:endnote w:type="continuationSeparator" w:id="0">
    <w:p w14:paraId="35392593" w14:textId="77777777" w:rsidR="00D97A23" w:rsidRDefault="00D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0262C" w14:textId="77777777" w:rsidR="001D7BE7" w:rsidRDefault="001C3812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BE0EFA">
      <w:rPr>
        <w:noProof/>
      </w:rPr>
      <w:t>3</w:t>
    </w:r>
    <w: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D7BD" w14:textId="77777777" w:rsidR="00D97A23" w:rsidRDefault="00D97A23">
      <w:r>
        <w:separator/>
      </w:r>
    </w:p>
  </w:footnote>
  <w:footnote w:type="continuationSeparator" w:id="0">
    <w:p w14:paraId="3BA49DA6" w14:textId="77777777" w:rsidR="00D97A23" w:rsidRDefault="00D9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8068C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9E00B18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5CE7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0EFA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814A79"/>
  <w15:chartTrackingRefBased/>
  <w15:docId w15:val="{FB54AB46-226E-4BDC-9863-8E7BD2C6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725D-9D73-4C81-971C-4AD9588D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4</Pages>
  <Words>1568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cp:lastModifiedBy>Anna Casciano</cp:lastModifiedBy>
  <cp:revision>3</cp:revision>
  <cp:lastPrinted>2016-07-15T08:29:00Z</cp:lastPrinted>
  <dcterms:created xsi:type="dcterms:W3CDTF">2023-05-31T10:09:00Z</dcterms:created>
  <dcterms:modified xsi:type="dcterms:W3CDTF">2023-06-26T12:58:00Z</dcterms:modified>
</cp:coreProperties>
</file>