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521"/>
      </w:tblGrid>
      <w:tr w:rsidR="00527CAC" w:rsidTr="00527CAC">
        <w:tc>
          <w:tcPr>
            <w:tcW w:w="3652" w:type="dxa"/>
          </w:tcPr>
          <w:p w:rsidR="00527CAC" w:rsidRDefault="00527CAC" w:rsidP="00527CAC">
            <w:pPr>
              <w:rPr>
                <w:rFonts w:ascii="Arial" w:hAnsi="Arial" w:cs="Arial"/>
                <w:color w:val="0F243E" w:themeColor="text2" w:themeShade="80"/>
                <w:sz w:val="35"/>
                <w:szCs w:val="35"/>
              </w:rPr>
            </w:pPr>
            <w:r w:rsidRPr="00527CAC">
              <w:rPr>
                <w:rFonts w:ascii="Arial" w:hAnsi="Arial" w:cs="Arial"/>
                <w:color w:val="0F243E" w:themeColor="text2" w:themeShade="80"/>
                <w:sz w:val="35"/>
                <w:szCs w:val="35"/>
              </w:rPr>
              <w:drawing>
                <wp:inline distT="0" distB="0" distL="0" distR="0">
                  <wp:extent cx="1621282" cy="723600"/>
                  <wp:effectExtent l="19050" t="0" r="0" b="0"/>
                  <wp:docPr id="2" name="Immagine 0" descr="LOGO UIL SCU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L SCUOLA.gif"/>
                          <pic:cNvPicPr/>
                        </pic:nvPicPr>
                        <pic:blipFill>
                          <a:blip r:embed="rId4" cstate="print"/>
                          <a:stretch>
                            <a:fillRect/>
                          </a:stretch>
                        </pic:blipFill>
                        <pic:spPr>
                          <a:xfrm>
                            <a:off x="0" y="0"/>
                            <a:ext cx="1621282" cy="723600"/>
                          </a:xfrm>
                          <a:prstGeom prst="rect">
                            <a:avLst/>
                          </a:prstGeom>
                        </pic:spPr>
                      </pic:pic>
                    </a:graphicData>
                  </a:graphic>
                </wp:inline>
              </w:drawing>
            </w:r>
          </w:p>
        </w:tc>
        <w:tc>
          <w:tcPr>
            <w:tcW w:w="6521" w:type="dxa"/>
          </w:tcPr>
          <w:p w:rsidR="00527CAC" w:rsidRPr="00527CAC" w:rsidRDefault="00527CAC" w:rsidP="00527CAC">
            <w:pPr>
              <w:jc w:val="right"/>
              <w:rPr>
                <w:rFonts w:ascii="Arial" w:hAnsi="Arial" w:cs="Arial"/>
                <w:b/>
                <w:color w:val="0F243E" w:themeColor="text2" w:themeShade="80"/>
                <w:sz w:val="35"/>
                <w:szCs w:val="35"/>
              </w:rPr>
            </w:pPr>
            <w:r w:rsidRPr="00527CAC">
              <w:rPr>
                <w:rFonts w:ascii="Arial" w:hAnsi="Arial" w:cs="Arial"/>
                <w:color w:val="0F243E" w:themeColor="text2" w:themeShade="80"/>
                <w:sz w:val="35"/>
                <w:szCs w:val="35"/>
              </w:rPr>
              <w:t xml:space="preserve">ASSEGNAZIONI E UTILIZZAZIONI </w:t>
            </w:r>
            <w:r w:rsidRPr="00527CAC">
              <w:rPr>
                <w:rFonts w:ascii="Arial" w:hAnsi="Arial" w:cs="Arial"/>
                <w:color w:val="0F243E" w:themeColor="text2" w:themeShade="80"/>
                <w:sz w:val="35"/>
                <w:szCs w:val="35"/>
              </w:rPr>
              <w:br/>
            </w:r>
            <w:r w:rsidRPr="00527CAC">
              <w:rPr>
                <w:rFonts w:ascii="Arial" w:hAnsi="Arial" w:cs="Arial"/>
                <w:b/>
                <w:color w:val="0F243E" w:themeColor="text2" w:themeShade="80"/>
                <w:sz w:val="35"/>
                <w:szCs w:val="35"/>
              </w:rPr>
              <w:t>Le novità rilevanti</w:t>
            </w:r>
          </w:p>
          <w:p w:rsidR="00527CAC" w:rsidRDefault="00527CAC" w:rsidP="00527CAC">
            <w:pPr>
              <w:rPr>
                <w:rFonts w:ascii="Arial" w:hAnsi="Arial" w:cs="Arial"/>
                <w:color w:val="0F243E" w:themeColor="text2" w:themeShade="80"/>
                <w:sz w:val="35"/>
                <w:szCs w:val="35"/>
              </w:rPr>
            </w:pPr>
          </w:p>
        </w:tc>
      </w:tr>
    </w:tbl>
    <w:p w:rsidR="00527CAC" w:rsidRDefault="00527CAC" w:rsidP="00527CAC">
      <w:pPr>
        <w:rPr>
          <w:rFonts w:ascii="Arial" w:hAnsi="Arial" w:cs="Arial"/>
          <w:color w:val="0F243E" w:themeColor="text2" w:themeShade="80"/>
          <w:sz w:val="35"/>
          <w:szCs w:val="35"/>
        </w:rPr>
      </w:pPr>
    </w:p>
    <w:p w:rsidR="00527CAC" w:rsidRDefault="00527CAC" w:rsidP="00527CAC">
      <w:pPr>
        <w:rPr>
          <w:rFonts w:ascii="Arial" w:hAnsi="Arial" w:cs="Arial"/>
          <w:color w:val="0F243E" w:themeColor="text2" w:themeShade="80"/>
          <w:sz w:val="35"/>
          <w:szCs w:val="35"/>
        </w:rPr>
      </w:pPr>
    </w:p>
    <w:p w:rsidR="00955096" w:rsidRPr="00527CAC" w:rsidRDefault="00955096" w:rsidP="00527CAC">
      <w:pPr>
        <w:rPr>
          <w:rFonts w:ascii="Arial" w:hAnsi="Arial" w:cs="Arial"/>
          <w:color w:val="0F243E" w:themeColor="text2" w:themeShade="80"/>
          <w:sz w:val="35"/>
          <w:szCs w:val="35"/>
        </w:rPr>
      </w:pPr>
    </w:p>
    <w:p w:rsidR="00527CAC" w:rsidRPr="00527CAC" w:rsidRDefault="00527CAC" w:rsidP="00527CAC">
      <w:pPr>
        <w:pStyle w:val="NormaleWeb"/>
        <w:spacing w:before="0" w:beforeAutospacing="0" w:after="0" w:afterAutospacing="0"/>
        <w:ind w:left="360"/>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b/>
          <w:bCs/>
          <w:color w:val="0F243E" w:themeColor="text2" w:themeShade="80"/>
        </w:rPr>
        <w:t>SCADENZA DELLE DOMANDE</w:t>
      </w:r>
    </w:p>
    <w:p w:rsidR="00527CAC" w:rsidRPr="00527CAC" w:rsidRDefault="00527CAC" w:rsidP="00527CAC">
      <w:pPr>
        <w:pStyle w:val="NormaleWeb"/>
        <w:jc w:val="both"/>
        <w:textAlignment w:val="baseline"/>
        <w:rPr>
          <w:rFonts w:ascii="Arial" w:hAnsi="Arial" w:cs="Arial"/>
          <w:color w:val="0F243E" w:themeColor="text2" w:themeShade="80"/>
          <w:sz w:val="35"/>
          <w:szCs w:val="35"/>
        </w:rPr>
      </w:pPr>
      <w:r w:rsidRPr="00527CAC">
        <w:rPr>
          <w:rFonts w:ascii="Arial" w:hAnsi="Arial" w:cs="Arial"/>
          <w:color w:val="0F243E" w:themeColor="text2" w:themeShade="80"/>
        </w:rPr>
        <w:t>Le scadenze non sono state ancora stabilite. Verranno fissate dopo la registrazione del contratto integrativo.</w:t>
      </w:r>
    </w:p>
    <w:p w:rsidR="00527CAC" w:rsidRPr="00527CAC" w:rsidRDefault="00527CAC" w:rsidP="00527CAC">
      <w:pPr>
        <w:pStyle w:val="NormaleWeb"/>
        <w:spacing w:before="0" w:beforeAutospacing="0" w:after="0" w:afterAutospacing="0"/>
        <w:ind w:left="360"/>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b/>
          <w:bCs/>
          <w:color w:val="0F243E" w:themeColor="text2" w:themeShade="80"/>
        </w:rPr>
        <w:t>CONDIZIONI PER POTER RICHIEDERE ASSEGNAZIONE PROVVISORIA</w:t>
      </w:r>
    </w:p>
    <w:p w:rsidR="00527CAC" w:rsidRPr="00527CAC" w:rsidRDefault="00527CAC" w:rsidP="00527CAC">
      <w:pPr>
        <w:pStyle w:val="NormaleWeb"/>
        <w:ind w:firstLine="1"/>
        <w:jc w:val="both"/>
        <w:rPr>
          <w:rFonts w:ascii="Arial" w:hAnsi="Arial" w:cs="Arial"/>
          <w:color w:val="0F243E" w:themeColor="text2" w:themeShade="80"/>
          <w:sz w:val="35"/>
          <w:szCs w:val="35"/>
        </w:rPr>
      </w:pPr>
      <w:r w:rsidRPr="00527CAC">
        <w:rPr>
          <w:rFonts w:ascii="Arial" w:hAnsi="Arial" w:cs="Arial"/>
          <w:color w:val="0F243E" w:themeColor="text2" w:themeShade="80"/>
        </w:rPr>
        <w:t>È possibile richiedere assegnazione provvisoria per  uno dei seguenti motivi:</w:t>
      </w:r>
    </w:p>
    <w:p w:rsidR="00527CAC" w:rsidRPr="00527CAC" w:rsidRDefault="00527CAC" w:rsidP="00527CAC">
      <w:pPr>
        <w:pStyle w:val="NormaleWeb"/>
        <w:ind w:firstLine="1"/>
        <w:jc w:val="both"/>
        <w:rPr>
          <w:rFonts w:ascii="Arial" w:hAnsi="Arial" w:cs="Arial"/>
          <w:color w:val="0F243E" w:themeColor="text2" w:themeShade="80"/>
          <w:sz w:val="35"/>
          <w:szCs w:val="35"/>
        </w:rPr>
      </w:pPr>
      <w:r w:rsidRPr="00527CAC">
        <w:rPr>
          <w:rFonts w:ascii="Arial" w:hAnsi="Arial" w:cs="Arial"/>
          <w:color w:val="0F243E" w:themeColor="text2" w:themeShade="80"/>
        </w:rPr>
        <w:t>a) ricongiungimento ai figli o agli affidati di minore età con provvedimento giudiziario;</w:t>
      </w:r>
    </w:p>
    <w:p w:rsidR="00527CAC" w:rsidRPr="00527CAC" w:rsidRDefault="00527CAC" w:rsidP="00527CAC">
      <w:pPr>
        <w:pStyle w:val="NormaleWeb"/>
        <w:ind w:firstLine="1"/>
        <w:jc w:val="both"/>
        <w:rPr>
          <w:rFonts w:ascii="Arial" w:hAnsi="Arial" w:cs="Arial"/>
          <w:color w:val="0F243E" w:themeColor="text2" w:themeShade="80"/>
          <w:sz w:val="35"/>
          <w:szCs w:val="35"/>
        </w:rPr>
      </w:pPr>
      <w:r w:rsidRPr="00527CAC">
        <w:rPr>
          <w:rFonts w:ascii="Arial" w:hAnsi="Arial" w:cs="Arial"/>
          <w:color w:val="0F243E" w:themeColor="text2" w:themeShade="80"/>
        </w:rPr>
        <w:t>b) ricongiungimento al coniuge o alla parte dell’unione civile o al convivente, purché la stabilità della convivenza risulti da certificazione anagrafica;</w:t>
      </w:r>
    </w:p>
    <w:p w:rsidR="00527CAC" w:rsidRPr="00527CAC" w:rsidRDefault="00527CAC" w:rsidP="00527CAC">
      <w:pPr>
        <w:pStyle w:val="NormaleWeb"/>
        <w:ind w:firstLine="1"/>
        <w:jc w:val="both"/>
        <w:rPr>
          <w:rFonts w:ascii="Arial" w:hAnsi="Arial" w:cs="Arial"/>
          <w:color w:val="0F243E" w:themeColor="text2" w:themeShade="80"/>
          <w:sz w:val="35"/>
          <w:szCs w:val="35"/>
        </w:rPr>
      </w:pPr>
      <w:r w:rsidRPr="00527CAC">
        <w:rPr>
          <w:rFonts w:ascii="Arial" w:hAnsi="Arial" w:cs="Arial"/>
          <w:color w:val="0F243E" w:themeColor="text2" w:themeShade="80"/>
        </w:rPr>
        <w:t>c) gravi esigenze di salute del richiedente comprovate da idonea certificazione sanitaria;</w:t>
      </w:r>
    </w:p>
    <w:p w:rsidR="00527CAC" w:rsidRPr="00527CAC" w:rsidRDefault="00527CAC" w:rsidP="00527CAC">
      <w:pPr>
        <w:pStyle w:val="NormaleWeb"/>
        <w:ind w:firstLine="1"/>
        <w:jc w:val="both"/>
        <w:rPr>
          <w:rFonts w:ascii="Arial" w:hAnsi="Arial" w:cs="Arial"/>
          <w:color w:val="0F243E" w:themeColor="text2" w:themeShade="80"/>
          <w:sz w:val="35"/>
          <w:szCs w:val="35"/>
        </w:rPr>
      </w:pPr>
      <w:r w:rsidRPr="00527CAC">
        <w:rPr>
          <w:rFonts w:ascii="Arial" w:hAnsi="Arial" w:cs="Arial"/>
          <w:color w:val="0F243E" w:themeColor="text2" w:themeShade="80"/>
        </w:rPr>
        <w:t>d) ricongiungimento al genitore convivente qualora non ricorrano le condizioni di cui ai punti a) o b).</w:t>
      </w:r>
    </w:p>
    <w:p w:rsidR="00527CAC" w:rsidRPr="00527CAC" w:rsidRDefault="00527CAC" w:rsidP="00527CAC">
      <w:pPr>
        <w:pStyle w:val="NormaleWeb"/>
        <w:jc w:val="both"/>
        <w:textAlignment w:val="baseline"/>
        <w:rPr>
          <w:rFonts w:ascii="Arial" w:hAnsi="Arial" w:cs="Arial"/>
          <w:color w:val="0F243E" w:themeColor="text2" w:themeShade="80"/>
          <w:sz w:val="35"/>
          <w:szCs w:val="35"/>
        </w:rPr>
      </w:pPr>
      <w:r w:rsidRPr="00527CAC">
        <w:rPr>
          <w:rFonts w:ascii="Arial" w:hAnsi="Arial" w:cs="Arial"/>
          <w:color w:val="0F243E" w:themeColor="text2" w:themeShade="80"/>
        </w:rPr>
        <w:t>Può essere inoltre richiesta dal docente che ha ottenuto trasferimento nella stessa provincia di titolarità ma per un comune diverso da quello in cui ha la precedenza prevista dall'art.13 del CCNI dell' 11 aprile 2017.</w:t>
      </w:r>
    </w:p>
    <w:p w:rsidR="00527CAC" w:rsidRPr="00527CAC" w:rsidRDefault="00527CAC" w:rsidP="00527CAC">
      <w:pPr>
        <w:pStyle w:val="NormaleWeb"/>
        <w:spacing w:before="0" w:beforeAutospacing="0" w:after="0" w:afterAutospacing="0"/>
        <w:ind w:left="360"/>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b/>
          <w:bCs/>
          <w:color w:val="0F243E" w:themeColor="text2" w:themeShade="80"/>
        </w:rPr>
        <w:t xml:space="preserve">ASSEGNAZIONE PROVVISORIA ALL’INTERNO DELLA PROVINCIA </w:t>
      </w:r>
      <w:proofErr w:type="spellStart"/>
      <w:r w:rsidRPr="00527CAC">
        <w:rPr>
          <w:rFonts w:ascii="Arial" w:hAnsi="Arial" w:cs="Arial"/>
          <w:b/>
          <w:bCs/>
          <w:color w:val="0F243E" w:themeColor="text2" w:themeShade="80"/>
        </w:rPr>
        <w:t>DI</w:t>
      </w:r>
      <w:proofErr w:type="spellEnd"/>
      <w:r w:rsidRPr="00527CAC">
        <w:rPr>
          <w:rFonts w:ascii="Arial" w:hAnsi="Arial" w:cs="Arial"/>
          <w:b/>
          <w:bCs/>
          <w:color w:val="0F243E" w:themeColor="text2" w:themeShade="80"/>
        </w:rPr>
        <w:t xml:space="preserve"> TITOLARITÀ</w:t>
      </w:r>
    </w:p>
    <w:p w:rsidR="00527CAC" w:rsidRPr="00527CAC" w:rsidRDefault="00527CAC" w:rsidP="00527CAC">
      <w:pPr>
        <w:pStyle w:val="NormaleWeb"/>
        <w:spacing w:before="240" w:beforeAutospacing="0" w:after="200" w:afterAutospacing="0"/>
        <w:ind w:left="360"/>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color w:val="0F243E" w:themeColor="text2" w:themeShade="80"/>
        </w:rPr>
        <w:t>L’assegnazione provvisoria all'interno della provincia in cui è ubicato l'ambito o la scuola di titolarità può essere richiesta dai docenti di ogni ordine e grado.</w:t>
      </w:r>
    </w:p>
    <w:p w:rsidR="00527CAC" w:rsidRPr="00527CAC" w:rsidRDefault="00527CAC" w:rsidP="00527CAC">
      <w:pPr>
        <w:pStyle w:val="NormaleWeb"/>
        <w:spacing w:before="240" w:beforeAutospacing="0" w:after="200" w:afterAutospacing="0"/>
        <w:ind w:left="360"/>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color w:val="0F243E" w:themeColor="text2" w:themeShade="80"/>
        </w:rPr>
        <w:t>L'assegnazione provvisoria non può essere richiesta all'interno del comune di titolarità.</w:t>
      </w:r>
      <w:r w:rsidRPr="00527CAC">
        <w:rPr>
          <w:rFonts w:ascii="Arial" w:hAnsi="Arial" w:cs="Arial"/>
          <w:color w:val="0F243E" w:themeColor="text2" w:themeShade="80"/>
        </w:rPr>
        <w:br/>
      </w:r>
    </w:p>
    <w:p w:rsidR="00527CAC" w:rsidRPr="00527CAC" w:rsidRDefault="00527CAC" w:rsidP="00527CAC">
      <w:pPr>
        <w:pStyle w:val="NormaleWeb"/>
        <w:spacing w:before="0" w:beforeAutospacing="0" w:after="0" w:afterAutospacing="0"/>
        <w:ind w:left="360"/>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b/>
          <w:bCs/>
          <w:color w:val="0F243E" w:themeColor="text2" w:themeShade="80"/>
        </w:rPr>
        <w:t>ASSEGNAZIONE PROVVISORIA PER ALTRA PROVINCIA</w:t>
      </w:r>
    </w:p>
    <w:p w:rsidR="00527CAC" w:rsidRPr="00527CAC" w:rsidRDefault="00527CAC" w:rsidP="00527CAC">
      <w:pPr>
        <w:pStyle w:val="NormaleWeb"/>
        <w:jc w:val="both"/>
        <w:textAlignment w:val="baseline"/>
        <w:rPr>
          <w:rFonts w:ascii="Arial" w:hAnsi="Arial" w:cs="Arial"/>
          <w:color w:val="0F243E" w:themeColor="text2" w:themeShade="80"/>
          <w:sz w:val="35"/>
          <w:szCs w:val="35"/>
        </w:rPr>
      </w:pPr>
      <w:r w:rsidRPr="00527CAC">
        <w:rPr>
          <w:rFonts w:ascii="Arial" w:hAnsi="Arial" w:cs="Arial"/>
          <w:color w:val="0F243E" w:themeColor="text2" w:themeShade="80"/>
        </w:rPr>
        <w:t>Eliminato il  blocco triennale per chi richiede assegnazione provvisoria per altra provincia.</w:t>
      </w:r>
    </w:p>
    <w:p w:rsidR="00527CAC" w:rsidRPr="00527CAC" w:rsidRDefault="00527CAC" w:rsidP="00527CAC">
      <w:pPr>
        <w:pStyle w:val="NormaleWeb"/>
        <w:ind w:firstLine="1"/>
        <w:jc w:val="both"/>
        <w:rPr>
          <w:rFonts w:ascii="Arial" w:hAnsi="Arial" w:cs="Arial"/>
          <w:color w:val="0F243E" w:themeColor="text2" w:themeShade="80"/>
          <w:sz w:val="35"/>
          <w:szCs w:val="35"/>
        </w:rPr>
      </w:pPr>
      <w:r w:rsidRPr="00527CAC">
        <w:rPr>
          <w:rFonts w:ascii="Arial" w:hAnsi="Arial" w:cs="Arial"/>
          <w:color w:val="0F243E" w:themeColor="text2" w:themeShade="80"/>
        </w:rPr>
        <w:t>L'assegnazione provvisoria per altra provincia può essere richiesta dai docenti di ogni ordine e grado se:</w:t>
      </w:r>
    </w:p>
    <w:p w:rsidR="00527CAC" w:rsidRPr="00527CAC" w:rsidRDefault="00527CAC" w:rsidP="00527CAC">
      <w:pPr>
        <w:pStyle w:val="NormaleWeb"/>
        <w:ind w:left="361"/>
        <w:jc w:val="both"/>
        <w:rPr>
          <w:rFonts w:ascii="Arial" w:hAnsi="Arial" w:cs="Arial"/>
          <w:color w:val="0F243E" w:themeColor="text2" w:themeShade="80"/>
          <w:sz w:val="35"/>
          <w:szCs w:val="35"/>
        </w:rPr>
      </w:pPr>
      <w:r w:rsidRPr="00527CAC">
        <w:rPr>
          <w:rFonts w:ascii="Wingdings" w:hAnsi="Wingdings" w:cs="Arial"/>
          <w:color w:val="0F243E" w:themeColor="text2" w:themeShade="80"/>
        </w:rPr>
        <w:lastRenderedPageBreak/>
        <w:t></w:t>
      </w:r>
      <w:r w:rsidRPr="00527CAC">
        <w:rPr>
          <w:color w:val="0F243E" w:themeColor="text2" w:themeShade="80"/>
          <w:sz w:val="14"/>
          <w:szCs w:val="14"/>
        </w:rPr>
        <w:t>  </w:t>
      </w:r>
      <w:r w:rsidRPr="00527CAC">
        <w:rPr>
          <w:rFonts w:ascii="Arial" w:hAnsi="Arial" w:cs="Arial"/>
          <w:color w:val="0F243E" w:themeColor="text2" w:themeShade="80"/>
        </w:rPr>
        <w:t>il docente ha presentato domanda di mobilità e non l’ha ottenuta o non ha presentato domanda di mobilità per la provincia per la quale ricorra uno dei motivi di ricongiungimento.</w:t>
      </w:r>
    </w:p>
    <w:p w:rsidR="00527CAC" w:rsidRPr="00527CAC" w:rsidRDefault="00527CAC" w:rsidP="00527CAC">
      <w:pPr>
        <w:pStyle w:val="NormaleWeb"/>
        <w:ind w:left="361"/>
        <w:jc w:val="both"/>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color w:val="0F243E" w:themeColor="text2" w:themeShade="80"/>
        </w:rPr>
        <w:t>Il docente ha ottenuto domanda di mobilità in una provincia diversa da quella per la quale ricorrono i motivi di ricongiungimento o per la quale aveva richiesto di usufruire delle precedenze previste dall’art 13 del CCNI dell’11 aprile 2017.</w:t>
      </w:r>
    </w:p>
    <w:p w:rsidR="00527CAC" w:rsidRPr="00527CAC" w:rsidRDefault="00527CAC" w:rsidP="00527CAC">
      <w:pPr>
        <w:pStyle w:val="NormaleWeb"/>
        <w:ind w:firstLine="1"/>
        <w:jc w:val="both"/>
        <w:rPr>
          <w:rFonts w:ascii="Arial" w:hAnsi="Arial" w:cs="Arial"/>
          <w:color w:val="0F243E" w:themeColor="text2" w:themeShade="80"/>
          <w:sz w:val="35"/>
          <w:szCs w:val="35"/>
        </w:rPr>
      </w:pPr>
      <w:r w:rsidRPr="00527CAC">
        <w:rPr>
          <w:rFonts w:ascii="Arial" w:hAnsi="Arial" w:cs="Arial"/>
          <w:color w:val="0F243E" w:themeColor="text2" w:themeShade="80"/>
        </w:rPr>
        <w:t>L’assegnazione provvisoria potrà comunque essere richiesta</w:t>
      </w:r>
      <w:r w:rsidR="00DA4080">
        <w:rPr>
          <w:rFonts w:ascii="Arial" w:hAnsi="Arial" w:cs="Arial"/>
          <w:color w:val="0F243E" w:themeColor="text2" w:themeShade="80"/>
        </w:rPr>
        <w:t>, anche</w:t>
      </w:r>
      <w:r w:rsidRPr="00527CAC">
        <w:rPr>
          <w:rFonts w:ascii="Arial" w:hAnsi="Arial" w:cs="Arial"/>
          <w:color w:val="0F243E" w:themeColor="text2" w:themeShade="80"/>
        </w:rPr>
        <w:t xml:space="preserve"> da quanti abbiano già ottenuto la mobilità, qualora siano sopravvenuti, dopo il termine di scadenza delle domande di mobilità, i motivi di ricongiungimento precedentemente indicati</w:t>
      </w:r>
      <w:bookmarkStart w:id="0" w:name="_GoBack"/>
      <w:bookmarkEnd w:id="0"/>
      <w:r w:rsidRPr="00527CAC">
        <w:rPr>
          <w:rFonts w:ascii="Arial" w:hAnsi="Arial" w:cs="Arial"/>
          <w:color w:val="0F243E" w:themeColor="text2" w:themeShade="80"/>
        </w:rPr>
        <w:t>.</w:t>
      </w:r>
    </w:p>
    <w:p w:rsidR="00527CAC" w:rsidRPr="00527CAC" w:rsidRDefault="00527CAC" w:rsidP="00527CAC">
      <w:pPr>
        <w:pStyle w:val="NormaleWeb"/>
        <w:ind w:left="361"/>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b/>
          <w:bCs/>
          <w:color w:val="0F243E" w:themeColor="text2" w:themeShade="80"/>
        </w:rPr>
        <w:t>NUMERO PROVINCE E SCUOLE ESPRIMIBILI</w:t>
      </w:r>
    </w:p>
    <w:p w:rsidR="00527CAC" w:rsidRPr="00527CAC" w:rsidRDefault="00527CAC" w:rsidP="00527CAC">
      <w:pPr>
        <w:pStyle w:val="NormaleWeb"/>
        <w:ind w:left="361"/>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color w:val="0F243E" w:themeColor="text2" w:themeShade="80"/>
        </w:rPr>
        <w:t>È possibile richiedere una sola provincia.</w:t>
      </w:r>
    </w:p>
    <w:p w:rsidR="00527CAC" w:rsidRPr="00527CAC" w:rsidRDefault="00527CAC" w:rsidP="00527CAC">
      <w:pPr>
        <w:pStyle w:val="NormaleWeb"/>
        <w:ind w:left="361"/>
        <w:jc w:val="both"/>
        <w:textAlignment w:val="baseline"/>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color w:val="0F243E" w:themeColor="text2" w:themeShade="80"/>
        </w:rPr>
        <w:t>Si possono indicare fino a 20 preferenze per i docenti della scuola dell'infanzia e della scuola primaria e fino a 15 preferenze per i docenti della scuola secondaria di primo e secondo grado.</w:t>
      </w:r>
    </w:p>
    <w:p w:rsidR="00527CAC" w:rsidRPr="00527CAC" w:rsidRDefault="00527CAC" w:rsidP="00527CAC">
      <w:pPr>
        <w:pStyle w:val="NormaleWeb"/>
        <w:spacing w:line="402" w:lineRule="atLeast"/>
        <w:ind w:left="361"/>
        <w:rPr>
          <w:rFonts w:ascii="Arial" w:hAnsi="Arial" w:cs="Arial"/>
          <w:color w:val="0F243E" w:themeColor="text2" w:themeShade="80"/>
          <w:sz w:val="35"/>
          <w:szCs w:val="35"/>
        </w:rPr>
      </w:pPr>
      <w:r w:rsidRPr="00527CAC">
        <w:rPr>
          <w:rFonts w:ascii="Wingdings" w:hAnsi="Wingdings" w:cs="Arial"/>
          <w:color w:val="0F243E" w:themeColor="text2" w:themeShade="80"/>
          <w:sz w:val="35"/>
          <w:szCs w:val="35"/>
        </w:rPr>
        <w:t></w:t>
      </w:r>
      <w:r w:rsidRPr="00527CAC">
        <w:rPr>
          <w:color w:val="0F243E" w:themeColor="text2" w:themeShade="80"/>
          <w:sz w:val="14"/>
          <w:szCs w:val="14"/>
        </w:rPr>
        <w:t>  </w:t>
      </w:r>
      <w:r w:rsidRPr="00527CAC">
        <w:rPr>
          <w:rFonts w:ascii="Calibri" w:hAnsi="Calibri" w:cs="Calibri"/>
          <w:b/>
          <w:bCs/>
          <w:color w:val="0F243E" w:themeColor="text2" w:themeShade="80"/>
          <w:sz w:val="35"/>
          <w:szCs w:val="35"/>
        </w:rPr>
        <w:t>PRECEDENZE</w:t>
      </w:r>
    </w:p>
    <w:p w:rsidR="00527CAC" w:rsidRPr="00527CAC" w:rsidRDefault="00527CAC" w:rsidP="00527CAC">
      <w:pPr>
        <w:pStyle w:val="NormaleWeb"/>
        <w:spacing w:before="0" w:beforeAutospacing="0" w:after="240" w:afterAutospacing="0" w:line="402" w:lineRule="atLeast"/>
        <w:ind w:left="1"/>
        <w:rPr>
          <w:rFonts w:ascii="Arial" w:hAnsi="Arial" w:cs="Arial"/>
          <w:color w:val="0F243E" w:themeColor="text2" w:themeShade="80"/>
          <w:sz w:val="35"/>
          <w:szCs w:val="35"/>
        </w:rPr>
      </w:pPr>
      <w:r w:rsidRPr="00527CAC">
        <w:rPr>
          <w:rFonts w:ascii="Calibri" w:hAnsi="Calibri" w:cs="Calibri"/>
          <w:color w:val="0F243E" w:themeColor="text2" w:themeShade="80"/>
          <w:sz w:val="35"/>
          <w:szCs w:val="35"/>
        </w:rPr>
        <w:t>Confermate tutte le tipologie di precedenza già presenti lo scorso anno.</w:t>
      </w:r>
    </w:p>
    <w:p w:rsidR="00527CAC" w:rsidRPr="00527CAC" w:rsidRDefault="00527CAC" w:rsidP="00527CAC">
      <w:pPr>
        <w:pStyle w:val="NormaleWeb"/>
        <w:jc w:val="both"/>
        <w:rPr>
          <w:rFonts w:ascii="Arial" w:hAnsi="Arial" w:cs="Arial"/>
          <w:color w:val="0F243E" w:themeColor="text2" w:themeShade="80"/>
          <w:sz w:val="35"/>
          <w:szCs w:val="35"/>
        </w:rPr>
      </w:pPr>
      <w:r w:rsidRPr="00527CAC">
        <w:rPr>
          <w:rFonts w:ascii="Arial" w:hAnsi="Arial" w:cs="Arial"/>
          <w:color w:val="0F243E" w:themeColor="text2" w:themeShade="80"/>
        </w:rPr>
        <w:t>La novità riguarda la precedenza per le lavoratrici madri e i lavoratori padri anche adottivi o affidatari con prole di età fino ai 6 anni e, limitatamente ai trasferimenti interprovinciali, superiore ai 6 e fino ai 12 anni:</w:t>
      </w:r>
    </w:p>
    <w:p w:rsidR="00527CAC" w:rsidRPr="00527CAC" w:rsidRDefault="00527CAC" w:rsidP="00527CAC">
      <w:pPr>
        <w:pStyle w:val="NormaleWeb"/>
        <w:ind w:left="360"/>
        <w:jc w:val="both"/>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color w:val="0F243E" w:themeColor="text2" w:themeShade="80"/>
        </w:rPr>
        <w:t xml:space="preserve"> </w:t>
      </w:r>
      <w:r w:rsidR="00DA4080">
        <w:rPr>
          <w:rFonts w:ascii="Arial" w:hAnsi="Arial" w:cs="Arial"/>
          <w:color w:val="0F243E" w:themeColor="text2" w:themeShade="80"/>
        </w:rPr>
        <w:t xml:space="preserve">quest’ultima, </w:t>
      </w:r>
      <w:r w:rsidRPr="00527CAC">
        <w:rPr>
          <w:rFonts w:ascii="Arial" w:hAnsi="Arial" w:cs="Arial"/>
          <w:color w:val="0F243E" w:themeColor="text2" w:themeShade="80"/>
        </w:rPr>
        <w:t>precede l’assistenza all’unico parente o affine entro il secondo grado (ovvero entro il terzo grado) con handicap grave;</w:t>
      </w:r>
    </w:p>
    <w:p w:rsidR="00527CAC" w:rsidRPr="00527CAC" w:rsidRDefault="00527CAC" w:rsidP="00527CAC">
      <w:pPr>
        <w:pStyle w:val="NormaleWeb"/>
        <w:ind w:left="360"/>
        <w:jc w:val="both"/>
        <w:rPr>
          <w:rFonts w:ascii="Arial" w:hAnsi="Arial" w:cs="Arial"/>
          <w:color w:val="0F243E" w:themeColor="text2" w:themeShade="80"/>
          <w:sz w:val="35"/>
          <w:szCs w:val="35"/>
        </w:rPr>
      </w:pPr>
      <w:r w:rsidRPr="00527CAC">
        <w:rPr>
          <w:rFonts w:ascii="Wingdings" w:hAnsi="Wingdings" w:cs="Arial"/>
          <w:color w:val="0F243E" w:themeColor="text2" w:themeShade="80"/>
        </w:rPr>
        <w:t></w:t>
      </w:r>
      <w:r w:rsidRPr="00527CAC">
        <w:rPr>
          <w:color w:val="0F243E" w:themeColor="text2" w:themeShade="80"/>
          <w:sz w:val="14"/>
          <w:szCs w:val="14"/>
        </w:rPr>
        <w:t>  </w:t>
      </w:r>
      <w:r w:rsidRPr="00527CAC">
        <w:rPr>
          <w:rFonts w:ascii="Arial" w:hAnsi="Arial" w:cs="Arial"/>
          <w:color w:val="0F243E" w:themeColor="text2" w:themeShade="80"/>
        </w:rPr>
        <w:t> in caso di adozioni e di affidi, i sei e i dodici anni del figlio si intendono dall’ingresso del minore in famiglia e non all’età anagrafica.</w:t>
      </w:r>
    </w:p>
    <w:p w:rsidR="00527CAC" w:rsidRPr="00527CAC" w:rsidRDefault="00527CAC" w:rsidP="00527CAC">
      <w:pPr>
        <w:pStyle w:val="NormaleWeb"/>
        <w:spacing w:line="402" w:lineRule="atLeast"/>
        <w:ind w:left="361"/>
        <w:rPr>
          <w:rFonts w:ascii="Arial" w:hAnsi="Arial" w:cs="Arial"/>
          <w:color w:val="0F243E" w:themeColor="text2" w:themeShade="80"/>
          <w:sz w:val="35"/>
          <w:szCs w:val="35"/>
        </w:rPr>
      </w:pPr>
    </w:p>
    <w:p w:rsidR="00BF7766" w:rsidRPr="00527CAC" w:rsidRDefault="00DA4080">
      <w:pPr>
        <w:rPr>
          <w:color w:val="0F243E" w:themeColor="text2" w:themeShade="80"/>
        </w:rPr>
      </w:pPr>
    </w:p>
    <w:sectPr w:rsidR="00BF7766" w:rsidRPr="00527CAC" w:rsidSect="00DE6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compat/>
  <w:rsids>
    <w:rsidRoot w:val="00527CAC"/>
    <w:rsid w:val="00527CAC"/>
    <w:rsid w:val="00911E5B"/>
    <w:rsid w:val="00955096"/>
    <w:rsid w:val="00DA4080"/>
    <w:rsid w:val="00DE61ED"/>
    <w:rsid w:val="00E121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CA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7CAC"/>
    <w:pPr>
      <w:spacing w:before="100" w:beforeAutospacing="1" w:after="100" w:afterAutospacing="1"/>
    </w:pPr>
  </w:style>
  <w:style w:type="paragraph" w:styleId="Testofumetto">
    <w:name w:val="Balloon Text"/>
    <w:basedOn w:val="Normale"/>
    <w:link w:val="TestofumettoCarattere"/>
    <w:uiPriority w:val="99"/>
    <w:semiHidden/>
    <w:unhideWhenUsed/>
    <w:rsid w:val="00527C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7CAC"/>
    <w:rPr>
      <w:rFonts w:ascii="Tahoma" w:hAnsi="Tahoma" w:cs="Tahoma"/>
      <w:sz w:val="16"/>
      <w:szCs w:val="16"/>
      <w:lang w:eastAsia="it-IT"/>
    </w:rPr>
  </w:style>
  <w:style w:type="table" w:styleId="Grigliatabella">
    <w:name w:val="Table Grid"/>
    <w:basedOn w:val="Tabellanormale"/>
    <w:uiPriority w:val="59"/>
    <w:rsid w:val="00527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2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2</dc:creator>
  <cp:lastModifiedBy>RICCI 2</cp:lastModifiedBy>
  <cp:revision>3</cp:revision>
  <dcterms:created xsi:type="dcterms:W3CDTF">2017-06-21T14:05:00Z</dcterms:created>
  <dcterms:modified xsi:type="dcterms:W3CDTF">2017-06-21T14:29:00Z</dcterms:modified>
</cp:coreProperties>
</file>