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930" w:rsidRPr="002965CD" w:rsidRDefault="00452930">
      <w:pPr>
        <w:rPr>
          <w:rFonts w:asciiTheme="minorHAnsi" w:hAnsiTheme="minorHAnsi" w:cstheme="minorHAnsi"/>
          <w:sz w:val="40"/>
          <w:szCs w:val="40"/>
        </w:rPr>
      </w:pPr>
      <w:r w:rsidRPr="002965CD">
        <w:rPr>
          <w:rFonts w:asciiTheme="minorHAnsi" w:hAnsiTheme="minorHAnsi" w:cstheme="minorHAnsi"/>
          <w:sz w:val="40"/>
          <w:szCs w:val="40"/>
        </w:rPr>
        <w:t>ALLEGATO 1</w:t>
      </w:r>
      <w:r w:rsidR="004F6265" w:rsidRPr="002965CD">
        <w:rPr>
          <w:rFonts w:asciiTheme="minorHAnsi" w:hAnsiTheme="minorHAnsi" w:cstheme="minorHAnsi"/>
          <w:sz w:val="40"/>
          <w:szCs w:val="40"/>
        </w:rPr>
        <w:t xml:space="preserve"> - Modulo implementazione Misure Minime </w:t>
      </w:r>
    </w:p>
    <w:tbl>
      <w:tblPr>
        <w:tblW w:w="14708" w:type="dxa"/>
        <w:tblLayout w:type="fixed"/>
        <w:tblCellMar>
          <w:left w:w="10" w:type="dxa"/>
          <w:right w:w="10" w:type="dxa"/>
        </w:tblCellMar>
        <w:tblLook w:val="04A0"/>
      </w:tblPr>
      <w:tblGrid>
        <w:gridCol w:w="14708"/>
      </w:tblGrid>
      <w:tr w:rsidR="001816A1">
        <w:tc>
          <w:tcPr>
            <w:tcW w:w="1470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i/>
                <w:iCs/>
              </w:rPr>
            </w:pPr>
          </w:p>
        </w:tc>
      </w:tr>
    </w:tbl>
    <w:p w:rsidR="001816A1" w:rsidRDefault="001816A1">
      <w:pPr>
        <w:pStyle w:val="Standard"/>
      </w:pPr>
    </w:p>
    <w:p w:rsidR="001816A1" w:rsidRDefault="00E369FD">
      <w:pPr>
        <w:pStyle w:val="Standard"/>
      </w:pPr>
      <w:r>
        <w:t>ABSC 1 (CSC 1): INVENTARIO DEI DISPOSITIVI AUTORIZZATI E NON AUTORIZZATI</w:t>
      </w:r>
    </w:p>
    <w:tbl>
      <w:tblPr>
        <w:tblW w:w="14708" w:type="dxa"/>
        <w:tblLayout w:type="fixed"/>
        <w:tblCellMar>
          <w:left w:w="10" w:type="dxa"/>
          <w:right w:w="10" w:type="dxa"/>
        </w:tblCellMar>
        <w:tblLook w:val="04A0"/>
      </w:tblPr>
      <w:tblGrid>
        <w:gridCol w:w="533"/>
        <w:gridCol w:w="567"/>
        <w:gridCol w:w="567"/>
        <w:gridCol w:w="851"/>
        <w:gridCol w:w="5953"/>
        <w:gridCol w:w="6237"/>
      </w:tblGrid>
      <w:tr w:rsidR="001816A1">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Implementare un inventario delle risorse attive correlato a quello ABSC 1.4</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 xml:space="preserve">L’inventario è </w:t>
            </w:r>
            <w:r w:rsidR="004714DB">
              <w:t>in fase di redazione ed elencherà</w:t>
            </w:r>
            <w:r>
              <w:t xml:space="preserve"> i dispositivi informatici collegati in rete in modo permanente o provvisorio.</w:t>
            </w:r>
          </w:p>
          <w:p w:rsidR="001816A1" w:rsidRDefault="001816A1">
            <w:pPr>
              <w:pStyle w:val="Standard"/>
              <w:spacing w:after="0" w:line="240" w:lineRule="auto"/>
              <w:rPr>
                <w:i/>
                <w:iCs/>
                <w:shd w:val="clear" w:color="auto" w:fill="FFFF99"/>
              </w:rPr>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Implementare ABSC 1.1.1 attraverso uno strumento automatico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i/>
                <w:iCs/>
              </w:rPr>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Effettuare il discovery dei dispositivi collegati alla rete con allarmi in caso di anomalie.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Qualificare i sistemi connessi alla rete attraverso l'analisi del loro traffico.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pPr>
            <w:r>
              <w:t>Implementa</w:t>
            </w:r>
            <w:r w:rsidR="006713E2">
              <w:t>re il "logging" delle operazioni</w:t>
            </w:r>
            <w:r>
              <w:t xml:space="preserve"> del server DHCP.</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pPr>
            <w:r>
              <w:t>Utilizzare le informazioni ricavate dal "logging" DHCP per migliorare l'inventario delle risorse e identificare le risorse non ancora censite.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Aggiornare l'inventario quando nuovi dispositivi approvati vengono collegati in rete.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 xml:space="preserve">L’elenco di cui alla misura 1.1.1 </w:t>
            </w:r>
            <w:r w:rsidR="004714DB">
              <w:t>verrà regolarmente aggiornato ogni volta si renda necessario.</w:t>
            </w:r>
          </w:p>
          <w:p w:rsidR="001816A1" w:rsidRDefault="00E369FD" w:rsidP="00F33713">
            <w:pPr>
              <w:pStyle w:val="Standard"/>
              <w:spacing w:after="0" w:line="240" w:lineRule="auto"/>
            </w:pPr>
            <w:r>
              <w:t xml:space="preserve">L’aggiornamento dell’elenco </w:t>
            </w:r>
            <w:r w:rsidR="00F33713">
              <w:t>sarà</w:t>
            </w:r>
            <w:r>
              <w:t xml:space="preserve"> a carico de</w:t>
            </w:r>
            <w:r w:rsidR="004714DB">
              <w:t>ll’</w:t>
            </w:r>
            <w:r w:rsidR="004756D3">
              <w:t>A</w:t>
            </w:r>
            <w:r w:rsidR="004714DB">
              <w:t>mministratore di Sistema.</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Aggiornare l'inventario con uno strumento automatico quando nuovi dispositivi approvati vengono collegati in rete.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Gestire l'inventario delle risorse di tutti i sistemi collegati alla rete e dei dispositivi di rete stessi, registrando almeno l'indirizzo IP.</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Vedi punto 1.1.1.</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Dispositivi come telefoni cellulari, tablet, laptop e altri dispositivi elettronici portatili che memorizzano o elaborano dati devono essere identificati, a prescindere che siano collegati o meno alla rete dell'organizzazione.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Installare un'autenticazione a livello di rete via 802.1x per limitare e controllare quali dispositivi possono essere connessi alla rete. L'802.1x deve essere correlato ai dati dell'inventario per distinguere i sistemi autorizzati da quelli non autorizzati.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i certificati lato client per validare e autenticare i sistemi prima della connessione a una rete locale.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1816A1" w:rsidRDefault="00E369FD">
      <w:pPr>
        <w:pStyle w:val="Standard"/>
      </w:pPr>
      <w:r>
        <w:t>ABSC 2 (CSC 2): INVENTARIO DEI SOFTWARE AUTORIZZATI E NON AUTORIZZATI</w:t>
      </w:r>
    </w:p>
    <w:tbl>
      <w:tblPr>
        <w:tblW w:w="14560" w:type="dxa"/>
        <w:tblLayout w:type="fixed"/>
        <w:tblCellMar>
          <w:left w:w="10" w:type="dxa"/>
          <w:right w:w="10" w:type="dxa"/>
        </w:tblCellMar>
        <w:tblLook w:val="04A0"/>
      </w:tblPr>
      <w:tblGrid>
        <w:gridCol w:w="531"/>
        <w:gridCol w:w="563"/>
        <w:gridCol w:w="562"/>
        <w:gridCol w:w="849"/>
        <w:gridCol w:w="5887"/>
        <w:gridCol w:w="6168"/>
      </w:tblGrid>
      <w:tr w:rsidR="001816A1">
        <w:tc>
          <w:tcPr>
            <w:tcW w:w="165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88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1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5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Stilare un elenco di software autorizzati e relative versioni necessari per ciascun tipo di sistema, compresi server, workstation e laptop di vari tipi e per diversi usi. Non consentire l'installazione di software non compreso nell'elenco.</w:t>
            </w:r>
          </w:p>
        </w:tc>
        <w:tc>
          <w:tcPr>
            <w:tcW w:w="61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 xml:space="preserve">L'elenco </w:t>
            </w:r>
            <w:r w:rsidR="004714DB">
              <w:t>è in fase di stesura</w:t>
            </w:r>
            <w:r>
              <w:t>.</w:t>
            </w:r>
          </w:p>
          <w:p w:rsidR="001816A1" w:rsidRDefault="001816A1">
            <w:pPr>
              <w:pStyle w:val="Standard"/>
              <w:spacing w:after="0" w:line="240" w:lineRule="auto"/>
            </w:pPr>
          </w:p>
          <w:p w:rsidR="001816A1" w:rsidRDefault="00E369FD">
            <w:pPr>
              <w:pStyle w:val="Standard"/>
              <w:spacing w:after="0" w:line="240" w:lineRule="auto"/>
            </w:pPr>
            <w:r>
              <w:t xml:space="preserve">L’aggiornamento dell’elenco dei software </w:t>
            </w:r>
            <w:r w:rsidR="004756D3">
              <w:t>sarà a</w:t>
            </w:r>
            <w:r>
              <w:t xml:space="preserve"> carico de</w:t>
            </w:r>
            <w:r w:rsidR="004714DB">
              <w:t>ll’</w:t>
            </w:r>
            <w:r>
              <w:t>Amministrator</w:t>
            </w:r>
            <w:r w:rsidR="004714DB">
              <w:t>e</w:t>
            </w:r>
            <w:r>
              <w:t xml:space="preserve"> di Sistema.</w:t>
            </w:r>
          </w:p>
          <w:p w:rsidR="001816A1" w:rsidRDefault="00E369FD">
            <w:pPr>
              <w:pStyle w:val="Standard"/>
              <w:spacing w:after="0" w:line="240" w:lineRule="auto"/>
            </w:pPr>
            <w:r>
              <w:t xml:space="preserve"> </w:t>
            </w:r>
          </w:p>
          <w:p w:rsidR="001816A1" w:rsidRDefault="00E369FD">
            <w:pPr>
              <w:pStyle w:val="Standard"/>
              <w:spacing w:after="0" w:line="240" w:lineRule="auto"/>
            </w:pPr>
            <w:r>
              <w:t xml:space="preserve">Sono state date direttive al personale di non installare alcun software diverso. In caso di necessità, questa </w:t>
            </w:r>
            <w:r w:rsidR="004756D3">
              <w:t xml:space="preserve">verrà </w:t>
            </w:r>
            <w:r>
              <w:t>evidenziata a</w:t>
            </w:r>
            <w:r w:rsidR="004714DB">
              <w:t>ll’</w:t>
            </w:r>
            <w:r>
              <w:t>Amministrator</w:t>
            </w:r>
            <w:r w:rsidR="004714DB">
              <w:t>e</w:t>
            </w:r>
            <w:r>
              <w:t xml:space="preserve"> di Sistem</w:t>
            </w:r>
            <w:r w:rsidR="004714DB">
              <w:t>a, che ne verific</w:t>
            </w:r>
            <w:r w:rsidR="004756D3">
              <w:t>herà</w:t>
            </w:r>
            <w:r w:rsidR="004714DB">
              <w:t xml:space="preserve"> </w:t>
            </w:r>
            <w:r>
              <w:t>la reale esig</w:t>
            </w:r>
            <w:r w:rsidR="004714DB">
              <w:t>enza ed eventualmente provvede</w:t>
            </w:r>
            <w:r w:rsidR="004756D3">
              <w:t>rà</w:t>
            </w:r>
            <w:r>
              <w:t xml:space="preserve"> affinché sia installato, come pure che venga aggiornato l’elenco.</w:t>
            </w:r>
          </w:p>
          <w:p w:rsidR="001816A1" w:rsidRDefault="001816A1">
            <w:pPr>
              <w:pStyle w:val="Standard"/>
              <w:spacing w:after="0" w:line="240" w:lineRule="auto"/>
            </w:pPr>
          </w:p>
          <w:p w:rsidR="001816A1" w:rsidRPr="004756D3" w:rsidRDefault="00E369FD" w:rsidP="00F33713">
            <w:pPr>
              <w:pStyle w:val="Standard"/>
              <w:spacing w:after="0" w:line="240" w:lineRule="auto"/>
            </w:pPr>
            <w:r>
              <w:t xml:space="preserve">Le abilitazioni all'installazione del software </w:t>
            </w:r>
            <w:r w:rsidR="004756D3">
              <w:t>verranno</w:t>
            </w:r>
            <w:r>
              <w:t xml:space="preserve"> concessi solamente a</w:t>
            </w:r>
            <w:r w:rsidR="00F33713">
              <w:t>ll’Amministratore di</w:t>
            </w:r>
            <w:r>
              <w:t xml:space="preserve"> sistema (vedi 5.1.1)</w:t>
            </w: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2"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49"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88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Implementare una "whitelist" delle applicazioni autorizzate, bloccando l'esecuzione del software non incluso nella lista. La "whitelist" può essere molto ampia per includere i software più diffusi.</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2"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49"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88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 xml:space="preserve">Per sistemi con funzioni specifiche (che richiedono solo un piccolo numero di programmi per funzionare), la "whitelist" può essere più mirata. Quando si proteggono i sistemi con </w:t>
            </w:r>
            <w:r>
              <w:lastRenderedPageBreak/>
              <w:t>software personalizzati che può essere difficile inserire nella "whitelist", ricorrere al punto ABSC 2.4.1 (isolando il software personalizzato in un sistema operativo virtuale).</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2</w:t>
            </w:r>
          </w:p>
        </w:tc>
        <w:tc>
          <w:tcPr>
            <w:tcW w:w="56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2"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49"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88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strumenti di verifica dell'integrità dei file per verificare che le applicazioni nella "whitelist" non siano state modificate.</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5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Eseguire regolari scansioni sui sistemi al fine di rilevare la presenza di software non autorizzato.</w:t>
            </w:r>
          </w:p>
        </w:tc>
        <w:tc>
          <w:tcPr>
            <w:tcW w:w="61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4756D3">
            <w:pPr>
              <w:pStyle w:val="Standard"/>
              <w:spacing w:after="0" w:line="240" w:lineRule="auto"/>
            </w:pPr>
            <w:r>
              <w:t>L’</w:t>
            </w:r>
            <w:r w:rsidR="00C27886">
              <w:t xml:space="preserve"> Amministratore</w:t>
            </w:r>
            <w:r w:rsidR="00E369FD">
              <w:t xml:space="preserve"> di Sistema esegu</w:t>
            </w:r>
            <w:r>
              <w:t>irà</w:t>
            </w:r>
            <w:r w:rsidR="00E369FD">
              <w:t xml:space="preserve"> periodicamente la verifica del software installato su ciascun dispositivo e compar</w:t>
            </w:r>
            <w:r w:rsidR="00C27886">
              <w:t xml:space="preserve">erà </w:t>
            </w:r>
            <w:r w:rsidR="00E369FD">
              <w:t>il risultato con l’elenco di cui al punto 2.1.1.</w:t>
            </w:r>
          </w:p>
          <w:p w:rsidR="001816A1" w:rsidRDefault="001816A1">
            <w:pPr>
              <w:pStyle w:val="Standard"/>
              <w:spacing w:after="0" w:line="240" w:lineRule="auto"/>
            </w:pPr>
          </w:p>
          <w:p w:rsidR="001816A1" w:rsidRPr="00C47994" w:rsidRDefault="00E369FD" w:rsidP="00C27886">
            <w:pPr>
              <w:pStyle w:val="Standard"/>
              <w:spacing w:after="0" w:line="240" w:lineRule="auto"/>
            </w:pPr>
            <w:r>
              <w:t xml:space="preserve">Eventuale software installato che non risulti nell’elenco </w:t>
            </w:r>
            <w:r w:rsidR="00F33713">
              <w:t>verrà</w:t>
            </w:r>
            <w:r>
              <w:t xml:space="preserve"> segnalato a</w:t>
            </w:r>
            <w:r w:rsidR="00C47994">
              <w:t>ll’Amministratore</w:t>
            </w:r>
            <w:r>
              <w:t xml:space="preserve"> di Sistema, che provved</w:t>
            </w:r>
            <w:r w:rsidR="00C27886">
              <w:t>erà</w:t>
            </w:r>
            <w:r>
              <w:t xml:space="preserve"> affinché venga rimosso o, se valutato necessario, a che venga inserito nell’elenco.</w:t>
            </w: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3" w:type="dxa"/>
            <w:tcBorders>
              <w:top w:val="single" w:sz="4" w:space="0" w:color="00000A"/>
              <w:left w:val="single" w:sz="4" w:space="0" w:color="00000A"/>
              <w:bottom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2" w:type="dxa"/>
            <w:tcBorders>
              <w:top w:val="single" w:sz="4" w:space="0" w:color="00000A"/>
              <w:left w:val="single" w:sz="4" w:space="0" w:color="00000A"/>
              <w:bottom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49" w:type="dxa"/>
            <w:tcBorders>
              <w:top w:val="single" w:sz="4" w:space="0" w:color="00000A"/>
              <w:left w:val="single" w:sz="4" w:space="0" w:color="00000A"/>
              <w:bottom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887" w:type="dxa"/>
            <w:tcBorders>
              <w:top w:val="single" w:sz="4" w:space="0" w:color="00000A"/>
              <w:left w:val="single" w:sz="4" w:space="0" w:color="00000A"/>
              <w:bottom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Mantenere un inventario del software in tutta l'organizzazione che copra tutti i tipi di sistemi operativi in uso, compresi server, workstation e laptop.</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i/>
                <w:iCs/>
              </w:rPr>
            </w:pP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2"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49"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88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Installare strumenti automatici d'inventario del software che registrino anche la versione del sistema operativo utilizzato nonché le applicazioni installate, le varie versioni ed il livello di patch.</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2"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49"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88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macchine virtuali e/o sistemi air-gapped  per isolare ed eseguire applicazioni necessarie per operazioni strategiche o critiche dell'Ente, che a causa dell'elevato rischio non devono essere installate in ambienti direttamente collegati in rete.</w:t>
            </w:r>
          </w:p>
        </w:tc>
        <w:tc>
          <w:tcPr>
            <w:tcW w:w="6168"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1816A1" w:rsidRDefault="00E369FD">
      <w:pPr>
        <w:pStyle w:val="Standard"/>
      </w:pPr>
      <w:r>
        <w:t>ABSC 3 (CSC 3): PROTEGGERE LE CONFIGURAZIONI DI HARDWARE E SOFTWARE SUI DISPOSITIVI MOBILI, LAPTOP, WORKSTATION E SERVER</w:t>
      </w:r>
    </w:p>
    <w:tbl>
      <w:tblPr>
        <w:tblW w:w="14596" w:type="dxa"/>
        <w:tblLayout w:type="fixed"/>
        <w:tblCellMar>
          <w:left w:w="10" w:type="dxa"/>
          <w:right w:w="10" w:type="dxa"/>
        </w:tblCellMar>
        <w:tblLook w:val="04A0"/>
      </w:tblPr>
      <w:tblGrid>
        <w:gridCol w:w="533"/>
        <w:gridCol w:w="567"/>
        <w:gridCol w:w="567"/>
        <w:gridCol w:w="851"/>
        <w:gridCol w:w="5953"/>
        <w:gridCol w:w="6125"/>
      </w:tblGrid>
      <w:tr w:rsidR="001816A1" w:rsidTr="0072025F">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1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Utilizzare configurazioni sicure standard per la protezione dei sistemi operativi.</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C27886">
            <w:pPr>
              <w:pStyle w:val="Standard"/>
              <w:spacing w:after="0" w:line="240" w:lineRule="auto"/>
            </w:pPr>
            <w:r>
              <w:t xml:space="preserve">L’Amministratore </w:t>
            </w:r>
            <w:r w:rsidR="00E369FD">
              <w:t>di Sistema defini</w:t>
            </w:r>
            <w:r>
              <w:t>rà</w:t>
            </w:r>
            <w:r w:rsidR="00E369FD">
              <w:t xml:space="preserve"> e document</w:t>
            </w:r>
            <w:r>
              <w:t>erà</w:t>
            </w:r>
            <w:r w:rsidR="00E369FD">
              <w:t xml:space="preserve"> le configurazioni sicure standard per ciascun sistema operativo utilizzato.</w:t>
            </w:r>
          </w:p>
          <w:p w:rsidR="001816A1" w:rsidRDefault="001816A1">
            <w:pPr>
              <w:pStyle w:val="Standard"/>
              <w:spacing w:after="0" w:line="240" w:lineRule="auto"/>
            </w:pPr>
          </w:p>
          <w:p w:rsidR="001816A1" w:rsidRPr="00C27886" w:rsidRDefault="00C27886">
            <w:pPr>
              <w:pStyle w:val="Standard"/>
              <w:spacing w:after="0" w:line="240" w:lineRule="auto"/>
            </w:pPr>
            <w:r>
              <w:t xml:space="preserve">Potranno essere </w:t>
            </w:r>
            <w:r w:rsidR="00E369FD">
              <w:t xml:space="preserve">utilizzate copie immagine conservate come </w:t>
            </w:r>
            <w:r w:rsidR="00E369FD">
              <w:lastRenderedPageBreak/>
              <w:t>descritto al punto 3.3.1 e 3.3.2.</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Le configurazioni sicure standard  devono corrispondere alle versioni "hardened" del sistema operativo e delle applicazioni installate. La procedura di hardening comprende tipicamente: eliminazione degli account non necessari (compresi gli account di servizio), disattivazione o eliminazione dei servizi non necessari, configurazione di stack e heaps non eseguibili, applicazione di patch, chiusura di porte di rete aperte e non utilizzate.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Assicurare con regolarità la validazione e l'aggiornamento delle immagini d'installazione nella loro configurazione di sicurezza anche in considerazione delle più recenti vulnerabilità e vettori di attacco.</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Definire ed impiegare una configurazione standard per workstation, server e altri tipi di sistemi usati dall'organizzazione.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Vedi 3.1.1.</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Eventuali sistemi in esercizio che vengano compromessi devono essere ripristinati utilizzando la configurazione standard.</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4E3E92" w:rsidP="004E3E92">
            <w:pPr>
              <w:pStyle w:val="Standard"/>
              <w:spacing w:after="0" w:line="240" w:lineRule="auto"/>
            </w:pPr>
            <w:r>
              <w:t>Verranno</w:t>
            </w:r>
            <w:r w:rsidR="00E369FD">
              <w:t xml:space="preserve"> date disposizioni a</w:t>
            </w:r>
            <w:r>
              <w:t>ll’Amministratore di S</w:t>
            </w:r>
            <w:r w:rsidR="00E369FD">
              <w:t>istema in tale senso.</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Le modifiche alla configurazione standard devono effettuate secondo le procedure di gestione dei cambiamenti.</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Le immagini d'installazione devono essere memorizzate offline.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DE3FEB">
            <w:pPr>
              <w:pStyle w:val="Standard"/>
              <w:spacing w:after="0" w:line="240" w:lineRule="auto"/>
            </w:pPr>
            <w:r>
              <w:t xml:space="preserve">Verranno date disposizioni all’Amministratore di Sistema </w:t>
            </w:r>
            <w:r w:rsidR="00E369FD">
              <w:t>di salvare le immagin</w:t>
            </w:r>
            <w:r>
              <w:t>i d'installazione su supporto esterno.</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pPr>
            <w:r>
              <w:t>Le immagini d'installazione sono conservate in modalità protetta, garantendone l'integrità e la disponibilità solo agli utenti autorizzati.</w:t>
            </w:r>
          </w:p>
        </w:tc>
        <w:tc>
          <w:tcPr>
            <w:tcW w:w="61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Eseguire tutte le operazioni di amministrazione remota di server, workstation, dispositivi di rete e analoghe apparecchiature per mezzo di connessioni protette (protocolli intrinsecamente sicuri, ovvero su canali sicuri).</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 xml:space="preserve">Per attività di gestione effettuate da reti esterne alla rete </w:t>
            </w:r>
            <w:r w:rsidR="00DE3FEB">
              <w:t>dell’Istituto verranno</w:t>
            </w:r>
            <w:r>
              <w:t xml:space="preserve"> utilizzate connessioni VPN o comunque criptate.</w:t>
            </w:r>
          </w:p>
          <w:p w:rsidR="001816A1" w:rsidRDefault="001816A1">
            <w:pPr>
              <w:pStyle w:val="Standard"/>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strumenti di verifica dell'integrità dei file per assicurare che i file critici del sistema (compresi eseguibili di sistema e delle applicazioni sensibili, librerie e configurazioni) non siano stati alterati.</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Nel caso in cui la verifica di cui al punto precedente venga eseguita da uno strumento automatico, per qualunque alterazione di tali file deve essere generato un alert.</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Per il supporto alle analisi, il sistema di segnalazione deve essere in grado di mostrare la cronologia dei cambiamenti della configurazione nel tempo e identificare chi ha eseguito ciascuna modifica.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 controlli di integrità devono inoltre identificare le alterazioni sospette del sistema, delle variazioni dei permessi di file e cartelle.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un sistema centralizzato di controllo automatico delle configurazioni che consenta di rilevare e segnalare le modifiche non autorizzate.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strumenti di gestione della configurazione dei sistemi che consentano il ripristino delle impostazioni di configurazione standard.</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1816A1" w:rsidRDefault="00E369FD">
      <w:pPr>
        <w:pStyle w:val="Standard"/>
      </w:pPr>
      <w:r>
        <w:t>ABSC 4 (CSC 4): VALUTAZIONE E CORREZIONE CONTINUA DELLA VULNERABILITÀ</w:t>
      </w:r>
    </w:p>
    <w:tbl>
      <w:tblPr>
        <w:tblW w:w="14596" w:type="dxa"/>
        <w:tblLayout w:type="fixed"/>
        <w:tblCellMar>
          <w:left w:w="10" w:type="dxa"/>
          <w:right w:w="10" w:type="dxa"/>
        </w:tblCellMar>
        <w:tblLook w:val="04A0"/>
      </w:tblPr>
      <w:tblGrid>
        <w:gridCol w:w="533"/>
        <w:gridCol w:w="567"/>
        <w:gridCol w:w="567"/>
        <w:gridCol w:w="851"/>
        <w:gridCol w:w="5953"/>
        <w:gridCol w:w="6125"/>
      </w:tblGrid>
      <w:tr w:rsidR="001816A1" w:rsidTr="0072025F">
        <w:trPr>
          <w:trHeight w:val="168"/>
        </w:trPr>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1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rsidTr="00EB5FC2">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Ad ogni modifica significativa della configurazione eseguire la ricerca delle vulnerabilità su tutti i sistemi in rete con strumenti automatici che forniscano a ciascun amministratore di sistema report con indicazioni delle vulnerabilità più critiche.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Pr="00B55F17" w:rsidRDefault="00EB5FC2">
            <w:pPr>
              <w:pStyle w:val="Standard"/>
              <w:spacing w:after="0" w:line="240" w:lineRule="auto"/>
            </w:pPr>
            <w:r w:rsidRPr="00B55F17">
              <w:rPr>
                <w:iCs/>
                <w:shd w:val="clear" w:color="auto" w:fill="FFFF99"/>
              </w:rPr>
              <w:t>Verrà richiesto all’Amministratore di Sistema eventualmente esterno</w:t>
            </w:r>
            <w:r w:rsidR="00E369FD" w:rsidRPr="00B55F17">
              <w:rPr>
                <w:iCs/>
                <w:shd w:val="clear" w:color="auto" w:fill="FFFF99"/>
              </w:rPr>
              <w:t xml:space="preserve"> di dotarsi, di uno strumento software che effettui (anche</w:t>
            </w:r>
            <w:r w:rsidR="00E369FD" w:rsidRPr="00B55F17">
              <w:rPr>
                <w:iCs/>
              </w:rPr>
              <w:t xml:space="preserve"> </w:t>
            </w:r>
            <w:r w:rsidR="00E369FD" w:rsidRPr="00B55F17">
              <w:rPr>
                <w:iCs/>
                <w:shd w:val="clear" w:color="auto" w:fill="FFFF99"/>
              </w:rPr>
              <w:t xml:space="preserve">solo a richiesta) una scansione di tutti i sistemi in rete; a fronte di una “significativa” modifica (installazione di un sistema o software nuovo, aggiornamento, modifica della configurazione) di uno o più sistemi o software, si </w:t>
            </w:r>
            <w:r w:rsidRPr="00B55F17">
              <w:rPr>
                <w:iCs/>
                <w:shd w:val="clear" w:color="auto" w:fill="FFFF99"/>
              </w:rPr>
              <w:t>procederà</w:t>
            </w:r>
            <w:r w:rsidR="00E369FD" w:rsidRPr="00B55F17">
              <w:rPr>
                <w:iCs/>
                <w:shd w:val="clear" w:color="auto" w:fill="FFFF99"/>
              </w:rPr>
              <w:t xml:space="preserve"> alla scansione.</w:t>
            </w:r>
          </w:p>
          <w:p w:rsidR="001816A1" w:rsidRPr="00EB5FC2" w:rsidRDefault="00E369FD">
            <w:pPr>
              <w:pStyle w:val="Standard"/>
              <w:spacing w:after="0" w:line="240" w:lineRule="auto"/>
              <w:rPr>
                <w:iCs/>
                <w:shd w:val="clear" w:color="auto" w:fill="FFFF99"/>
              </w:rPr>
            </w:pPr>
            <w:r w:rsidRPr="00B55F17">
              <w:rPr>
                <w:iCs/>
                <w:shd w:val="clear" w:color="auto" w:fill="FFFF99"/>
              </w:rPr>
              <w:t xml:space="preserve">Per “significativa” si intende che </w:t>
            </w:r>
            <w:r w:rsidR="00EB5FC2" w:rsidRPr="00B55F17">
              <w:rPr>
                <w:iCs/>
                <w:shd w:val="clear" w:color="auto" w:fill="FFFF99"/>
              </w:rPr>
              <w:t>l’Amministratore</w:t>
            </w:r>
            <w:r w:rsidRPr="00B55F17">
              <w:rPr>
                <w:iCs/>
                <w:shd w:val="clear" w:color="auto" w:fill="FFFF99"/>
              </w:rPr>
              <w:t xml:space="preserve"> di Sistema rite</w:t>
            </w:r>
            <w:r w:rsidR="00EB5FC2" w:rsidRPr="00B55F17">
              <w:rPr>
                <w:iCs/>
                <w:shd w:val="clear" w:color="auto" w:fill="FFFF99"/>
              </w:rPr>
              <w:t>rrà</w:t>
            </w:r>
            <w:r w:rsidRPr="00B55F17">
              <w:rPr>
                <w:iCs/>
                <w:shd w:val="clear" w:color="auto" w:fill="FFFF99"/>
              </w:rPr>
              <w:t xml:space="preserve"> che la modifica effettuata impatta sulla sicurezza interna o esterna.</w:t>
            </w:r>
          </w:p>
          <w:p w:rsidR="001816A1" w:rsidRPr="00EB5FC2" w:rsidRDefault="001816A1">
            <w:pPr>
              <w:pStyle w:val="Standard"/>
              <w:spacing w:after="0" w:line="240" w:lineRule="auto"/>
            </w:pPr>
          </w:p>
          <w:p w:rsidR="001816A1" w:rsidRPr="00EB5FC2" w:rsidRDefault="001816A1">
            <w:pPr>
              <w:pStyle w:val="Standard"/>
              <w:spacing w:after="0" w:line="240" w:lineRule="auto"/>
              <w:rPr>
                <w:i/>
                <w:iCs/>
                <w:shd w:val="clear" w:color="auto" w:fill="FFFF99"/>
              </w:rPr>
            </w:pPr>
          </w:p>
          <w:p w:rsidR="00EB5FC2" w:rsidRPr="00EB5FC2" w:rsidRDefault="00EB5FC2">
            <w:pPr>
              <w:pStyle w:val="Standard"/>
              <w:spacing w:after="0" w:line="240" w:lineRule="auto"/>
              <w:rPr>
                <w:iCs/>
                <w:shd w:val="clear" w:color="auto" w:fill="FFFF99"/>
              </w:rPr>
            </w:pPr>
          </w:p>
        </w:tc>
      </w:tr>
      <w:tr w:rsidR="001816A1" w:rsidTr="00EB5FC2">
        <w:tc>
          <w:tcPr>
            <w:tcW w:w="533"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Default="00E369FD">
            <w:pPr>
              <w:pStyle w:val="Standard"/>
              <w:spacing w:after="0" w:line="240" w:lineRule="auto"/>
            </w:pPr>
            <w:r>
              <w:t xml:space="preserve">Eseguire periodicamente la ricerca delle vulnerabilità ABSC 4.1.1 con frequenza commisurata alla complessità </w:t>
            </w:r>
            <w:r>
              <w:lastRenderedPageBreak/>
              <w:t>dell'infrastruttura.</w:t>
            </w:r>
          </w:p>
        </w:tc>
        <w:tc>
          <w:tcPr>
            <w:tcW w:w="6125" w:type="dxa"/>
            <w:tcBorders>
              <w:top w:val="single" w:sz="4" w:space="0" w:color="00000A"/>
              <w:left w:val="single" w:sz="4" w:space="0" w:color="00000A"/>
              <w:bottom w:val="single" w:sz="4" w:space="0" w:color="00000A"/>
              <w:right w:val="single" w:sz="4" w:space="0" w:color="00000A"/>
            </w:tcBorders>
            <w:shd w:val="pct30" w:color="auto" w:fill="F2F2F2"/>
            <w:tcMar>
              <w:top w:w="0" w:type="dxa"/>
              <w:left w:w="113" w:type="dxa"/>
              <w:bottom w:w="0" w:type="dxa"/>
              <w:right w:w="108" w:type="dxa"/>
            </w:tcMar>
          </w:tcPr>
          <w:p w:rsidR="001816A1" w:rsidRPr="00EB5FC2"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Usare uno SCAP (Security Content Automation Protocol) di validazione della vulnerabilità che rilevi sia le vulnerabilità basate sul codice (come quelle descritte dalle voci Common Vulnerabilities ed Exposures) che quelle basate sulla configurazione (come elencate nel Common Configuration Enumeration Project).</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Correlare i log di sistema con le informazioni ottenute dalle scansioni delle vulnerabilità.</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Verificare che i log registrino le attività dei sistemi di scanning delle vulnerabilità</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Verificare nei log la presenza di attacchi pregressi condotti contro target riconosciuto come vulnerabile.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Eseguire le scansioni di vulnerabilità in modalità privilegiata, sia localmente, sia da remoto, utilizzando un account dedicato che non deve essere usato per nessun'altra attività di amministrazione.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Vincolare l'origine delle scansioni di vulnerabilità a specifiche macchine o indirizzi IP, assicurando che solo il personale autorizzato abbia accesso a tale interfaccia e la utilizzi propriamente.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Assicurare che gli strumenti di scansione delle vulnerabilità utilizzati siano regolarmente aggiornati con tutte le più rilevanti vulnerabilità di sicurezza.</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B5FC2" w:rsidP="00EB5FC2">
            <w:pPr>
              <w:pStyle w:val="Standard"/>
              <w:spacing w:after="0" w:line="240" w:lineRule="auto"/>
            </w:pPr>
            <w:r>
              <w:t>Si darà d</w:t>
            </w:r>
            <w:r w:rsidR="00E369FD">
              <w:t>isposizioni a</w:t>
            </w:r>
            <w:r>
              <w:t>ll’A</w:t>
            </w:r>
            <w:r w:rsidR="00E369FD">
              <w:t>mministrator</w:t>
            </w:r>
            <w:r>
              <w:t>e</w:t>
            </w:r>
            <w:r w:rsidR="00E369FD">
              <w:t xml:space="preserve"> di Sistema di verificare che il software di scansione prima di ciascun utilizzo sia aggiornato rispetto alle vulnerabilità.</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Registrarsi ad un servizio che fornisca tempestivamente le informazioni sulle nuove minacce e vulnerabilità. Utilizzandole per aggiornare le attività di scansione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Installare automaticamente le patch e gli aggiornamenti del software sia per il sistema operativo sia per le applicazioni.</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 xml:space="preserve">L’applicazione delle patch di </w:t>
            </w:r>
            <w:r w:rsidR="00EB5FC2">
              <w:t>vulnerabilità verrà schedulata dall’</w:t>
            </w:r>
            <w:r>
              <w:t xml:space="preserve"> Amministrator</w:t>
            </w:r>
            <w:r w:rsidR="00EB5FC2">
              <w:t>e</w:t>
            </w:r>
            <w:r>
              <w:t xml:space="preserve"> di Sistema</w:t>
            </w:r>
          </w:p>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Assicurare l'aggiornamento dei sistemi separati dalla rete, in particolare di quelli air-gapped, adottando misure adeguate al loro livello di criticità.</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B5FC2">
            <w:pPr>
              <w:pStyle w:val="Standard"/>
              <w:spacing w:after="0" w:line="240" w:lineRule="auto"/>
            </w:pPr>
            <w:r>
              <w:t>Verranno</w:t>
            </w:r>
            <w:r w:rsidR="00E369FD">
              <w:t xml:space="preserve"> date disposizioni agli Amministratori di Sistema di controllare ed aggiornare manualmente periodicamente i sistemi non raggiungibili via rete.</w:t>
            </w:r>
          </w:p>
          <w:p w:rsidR="001816A1" w:rsidRDefault="001816A1">
            <w:pPr>
              <w:pStyle w:val="Standard"/>
              <w:spacing w:after="0" w:line="240" w:lineRule="auto"/>
            </w:pPr>
          </w:p>
          <w:p w:rsidR="001816A1" w:rsidRDefault="00EB5FC2">
            <w:pPr>
              <w:pStyle w:val="Standard"/>
              <w:spacing w:after="0" w:line="240" w:lineRule="auto"/>
            </w:pPr>
            <w:r>
              <w:t>Verranno</w:t>
            </w:r>
            <w:r w:rsidR="00E369FD">
              <w:t xml:space="preserve"> date disposizioni ai possessori di smartphone, tablet o </w:t>
            </w:r>
            <w:r w:rsidR="00E369FD">
              <w:lastRenderedPageBreak/>
              <w:t>notebook di proprietà dell’ente di accettare gli aggiornamenti proposti automaticamente dal sistema.</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Verificare regolarmente che tutte le attività di scansione effettuate con gli account aventi privilegi di amministratore siano state eseguite secondo delle policy predefinite.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rPr>
                <w:b/>
              </w:rPr>
            </w:pPr>
            <w:r>
              <w:rPr>
                <w:b/>
              </w:rPr>
              <w:t>Verificare che le vulnerabilità emerse dalle scansioni siano state risolte sia per mezzo di patch, o implementando opportune contromisure oppure documentando e accettando un ragionevole rischio.</w:t>
            </w:r>
          </w:p>
        </w:tc>
        <w:tc>
          <w:tcPr>
            <w:tcW w:w="61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B5FC2" w:rsidP="006F2635">
            <w:pPr>
              <w:pStyle w:val="Standard"/>
              <w:spacing w:after="0" w:line="240" w:lineRule="auto"/>
            </w:pPr>
            <w:r>
              <w:t>Verranno</w:t>
            </w:r>
            <w:r w:rsidR="00E369FD">
              <w:t xml:space="preserve"> date disposizioni a</w:t>
            </w:r>
            <w:r>
              <w:t>ll’Amministratore</w:t>
            </w:r>
            <w:r w:rsidR="00E369FD">
              <w:t xml:space="preserve"> di Sistema di verificare la r</w:t>
            </w:r>
            <w:r w:rsidR="006F2635">
              <w:t xml:space="preserve">isoluzione delle vulnerabilità. </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Rivedere periodicamente l'accettazione dei rischi di vulnerabilità esistenti per determinare se misure più recenti o successive patch possono essere risolutive o se le condizioni sono cambiate, con la conseguente modifica del livello di rischio.</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Definire un piano di gestione dei rischi che tenga conto dei livelli di gravità delle vulnerabilità, del potenziale impatto e della tipologia degli apparati (e.g. server esposti, server interni, PdL, portatili, etc.).</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6713E2">
            <w:pPr>
              <w:pStyle w:val="Standard"/>
              <w:spacing w:after="0" w:line="240" w:lineRule="auto"/>
            </w:pPr>
            <w:r>
              <w:t>Occorre redigere</w:t>
            </w:r>
            <w:r w:rsidR="00E369FD">
              <w:t xml:space="preserve"> il piano richiesto.</w:t>
            </w:r>
          </w:p>
          <w:p w:rsidR="001816A1" w:rsidRDefault="001816A1">
            <w:pPr>
              <w:pStyle w:val="Standard"/>
              <w:spacing w:after="0" w:line="240" w:lineRule="auto"/>
              <w:rPr>
                <w:i/>
                <w:iCs/>
              </w:rPr>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Attribuire alle azioni per la risoluzione delle vulnerabilità un livello di priorità in base al rischio associato.  In particolare applicare le patch per le vulnerabilità a partire da quelle più critiche.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rsidP="006F2635">
            <w:pPr>
              <w:pStyle w:val="Standard"/>
              <w:spacing w:after="0" w:line="240" w:lineRule="auto"/>
            </w:pPr>
            <w:r>
              <w:t>Vedi 4.8.1</w:t>
            </w:r>
            <w:r w:rsidR="006F2635">
              <w:t xml:space="preserve"> Verranno</w:t>
            </w:r>
            <w:r>
              <w:t xml:space="preserve"> date disposizioni a</w:t>
            </w:r>
            <w:r w:rsidR="006F2635">
              <w:t>ll’</w:t>
            </w:r>
            <w:r>
              <w:t>Amministrator</w:t>
            </w:r>
            <w:r w:rsidR="006F2635">
              <w:t>e</w:t>
            </w:r>
            <w:r>
              <w:t xml:space="preserve"> di Sistema</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9</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Prevedere, in caso di nuove vulnerabilità, misure alternative se non sono immediatamente disponibili patch o se i tempi di distribuzione non sono compatibili con quelli fissati dall'organizzazione.</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10</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Valutare in un opportuno ambiente di test le patch dei prodotti non standard (es.: quelli sviluppati ad hoc) prima di installarle nei sistemi in esercizio.</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1816A1" w:rsidRDefault="00E369FD">
      <w:pPr>
        <w:pStyle w:val="Standard"/>
      </w:pPr>
      <w:r>
        <w:t>ABSC 5 (CSC 5): USO APPROPRIATO DEI PRIVILEGI DI AMMINISTRATORE</w:t>
      </w:r>
    </w:p>
    <w:tbl>
      <w:tblPr>
        <w:tblW w:w="14596" w:type="dxa"/>
        <w:tblLayout w:type="fixed"/>
        <w:tblCellMar>
          <w:left w:w="10" w:type="dxa"/>
          <w:right w:w="10" w:type="dxa"/>
        </w:tblCellMar>
        <w:tblLook w:val="04A0"/>
      </w:tblPr>
      <w:tblGrid>
        <w:gridCol w:w="533"/>
        <w:gridCol w:w="567"/>
        <w:gridCol w:w="567"/>
        <w:gridCol w:w="851"/>
        <w:gridCol w:w="5953"/>
        <w:gridCol w:w="6125"/>
      </w:tblGrid>
      <w:tr w:rsidR="001816A1" w:rsidTr="0072025F">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12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 xml:space="preserve">Limitare i privilegi di amministrazione ai soli utenti che </w:t>
            </w:r>
            <w:r>
              <w:rPr>
                <w:b/>
              </w:rPr>
              <w:lastRenderedPageBreak/>
              <w:t>abbiano le competenze adeguate e la necessità operativa di modificare la configurazione dei sistemi.</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B55F17">
            <w:pPr>
              <w:pStyle w:val="Standard"/>
              <w:spacing w:after="0" w:line="240" w:lineRule="auto"/>
            </w:pPr>
            <w:r>
              <w:lastRenderedPageBreak/>
              <w:t xml:space="preserve">Azione parzialmente svolta da servizio esterno di Segreteria </w:t>
            </w:r>
            <w:r>
              <w:lastRenderedPageBreak/>
              <w:t>digitale e registro elettronico</w:t>
            </w:r>
          </w:p>
          <w:p w:rsidR="001816A1" w:rsidRDefault="001816A1">
            <w:pPr>
              <w:pStyle w:val="Standard"/>
              <w:spacing w:after="0" w:line="240" w:lineRule="auto"/>
            </w:pPr>
          </w:p>
        </w:tc>
      </w:tr>
      <w:tr w:rsidR="001816A1" w:rsidTr="00123667">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lastRenderedPageBreak/>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Utilizzare le utenze amministrative solo per effettuare operazioni che ne richiedano i privilegi, registrando ogni accesso effettuato.</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rPr>
                <w:i/>
                <w:iCs/>
              </w:rPr>
            </w:pPr>
          </w:p>
        </w:tc>
      </w:tr>
      <w:tr w:rsidR="001816A1" w:rsidRPr="00123667" w:rsidTr="00123667">
        <w:tc>
          <w:tcPr>
            <w:tcW w:w="53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1816A1" w:rsidRPr="00123667" w:rsidRDefault="00E369FD">
            <w:pPr>
              <w:pStyle w:val="Standard"/>
              <w:spacing w:after="0" w:line="240" w:lineRule="auto"/>
              <w:jc w:val="center"/>
              <w:rPr>
                <w:b/>
              </w:rPr>
            </w:pPr>
            <w:r w:rsidRPr="00123667">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1816A1" w:rsidRPr="00123667" w:rsidRDefault="00E369FD">
            <w:pPr>
              <w:pStyle w:val="Standard"/>
              <w:spacing w:after="0" w:line="240" w:lineRule="auto"/>
              <w:jc w:val="center"/>
              <w:rPr>
                <w:b/>
              </w:rPr>
            </w:pPr>
            <w:r w:rsidRPr="00123667">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1816A1" w:rsidRPr="00123667" w:rsidRDefault="00E369FD">
            <w:pPr>
              <w:pStyle w:val="Standard"/>
              <w:spacing w:after="0" w:line="240" w:lineRule="auto"/>
              <w:jc w:val="center"/>
              <w:rPr>
                <w:b/>
              </w:rPr>
            </w:pPr>
            <w:r w:rsidRPr="00123667">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1816A1" w:rsidRPr="00123667" w:rsidRDefault="00E369FD">
            <w:pPr>
              <w:pStyle w:val="Standard"/>
              <w:spacing w:after="0" w:line="240" w:lineRule="auto"/>
              <w:jc w:val="center"/>
              <w:rPr>
                <w:b/>
              </w:rPr>
            </w:pPr>
            <w:r w:rsidRPr="00123667">
              <w:rPr>
                <w:b/>
              </w:rPr>
              <w:t>S</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1816A1" w:rsidRPr="00123667" w:rsidRDefault="00E369FD">
            <w:pPr>
              <w:pStyle w:val="Standard"/>
              <w:spacing w:after="0" w:line="240" w:lineRule="auto"/>
              <w:rPr>
                <w:b/>
              </w:rPr>
            </w:pPr>
            <w:r w:rsidRPr="00123667">
              <w:rPr>
                <w:b/>
              </w:rPr>
              <w:t>Assegnare a ciascuna utenza amministrativa solo i privilegi necessari per svolgere le attività previste per essa.</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Pr="00123667"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Registrare le azioni compiute da un'utenza amministrativa e rilevare ogni anomalia di comportamento.</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Mantenere l'inventario di tutte le utenze amministrative, garantendo che ciascuna di esse sia debitamente e formalmente autorizzata.</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Gestire l'inventario delle utenze amministrative attraverso uno strumento automatico che segnali ogni variazione che intervenga.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Prima di collegare alla rete un nuovo dispositivo sostituire le credenziali dell'amministratore predefinito con valori coerenti con quelli delle utenze amministrative in uso.</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Tracciare nei log l'aggiunta o la soppressione di un'utenza amministrativa.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Generare un'allerta quando viene aggiunta un'utenza amministrativa.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Generare un'allerta quando vengano aumentati i diritti di un'utenza amministrativa.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Tracciare nei log i tentativi falliti di accesso con un'utenza amministrativa.</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sistemi di autenticazione a più fattori per tutti gli accessi amministrativi, inclusi gli accessi di amministrazione di dominio. L'autenticazione a più fattori può utilizzare diverse tecnologie, quali smart card, certificati digitali, one time password (OTP), token, biometria ed altri analoghi sistemi.</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Quando l'autenticazione a più fattori non è supportata, utilizzare per le utenze amministrative credenziali di elevata robustezza (e.g. almeno 14 caratteri).</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rPr>
                <w:i/>
                <w:iCs/>
                <w:shd w:val="clear" w:color="auto" w:fill="FFFF99"/>
              </w:rPr>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Impedire che per le utenze amministrative vengano utilizzate credenziali deboli.</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Assicurare che le credenziali delle utenze amministrative vengano sostituite con sufficiente frequenza (password aging)</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Impedire che credenziali già utilizzate possano essere riutilizzate a breve distanza di tempo (password history).</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5</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pPr>
            <w:r>
              <w:t>Assicurare che dopo la modifica delle credenziali trascorra un sufficiente lasso di tempo per poterne effettuare una nuova.</w:t>
            </w:r>
          </w:p>
        </w:tc>
        <w:tc>
          <w:tcPr>
            <w:tcW w:w="61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1816A1">
            <w:pPr>
              <w:pStyle w:val="Standard"/>
              <w:spacing w:after="0" w:line="240" w:lineRule="auto"/>
              <w:rPr>
                <w:shd w:val="clear" w:color="auto" w:fill="FFF200"/>
              </w:rPr>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6</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pPr>
            <w:r>
              <w:t>Assicurare che le stesse credenziali amministrative non possano essere riutilizzate prima di sei mesi.</w:t>
            </w:r>
          </w:p>
        </w:tc>
        <w:tc>
          <w:tcPr>
            <w:tcW w:w="6125"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1816A1">
            <w:pPr>
              <w:pStyle w:val="Standard"/>
              <w:spacing w:after="0" w:line="240" w:lineRule="auto"/>
              <w:rPr>
                <w:shd w:val="clear" w:color="auto" w:fill="FFF200"/>
              </w:rPr>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Non consentire l'accesso diretto ai sistemi con le utenze amministrative, obbligando gli amministratori ad accedere con un'utenza normale e successivamente eseguire come utente privilegiato i singoli comandi.</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9</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Per le operazioni che richiedono privilegi gli amministratori debbono utilizzare macchine dedicate, collocate su una rete logicamente dedicata, isolata rispetto a Internet. Tali macchine non possono essere utilizzate per altre attività.</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B55F17"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Assicurare la completa distinzione tra utenze privilegiate e non privilegiate degli amministratori, alle quali debbono corrispondere credenziali diverse.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D75779">
              <w:t>Azione parzialmente svolta da servizio esterno di Segreteria digitale e registro elettronico</w:t>
            </w:r>
          </w:p>
        </w:tc>
      </w:tr>
      <w:tr w:rsidR="00B55F17"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Tutte le utenze, in particolare quelle amministrative, debbono essere nominative e riconducibili ad una sola persona.</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D75779">
              <w:t>Azione parzialmente svolta da servizio esterno di Segreteria digitale e registro elettronico</w:t>
            </w:r>
          </w:p>
        </w:tc>
      </w:tr>
      <w:tr w:rsidR="00B55F17"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Le utenze amministrative anonime, quali "root" di UNIX o "Administrator" di Windows, debbono essere utilizzate solo per le situazioni di emergenza e le relative credenziali debbono essere gestite in modo da assicurare l'imputabilità di chi ne fa uso.</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D75779">
              <w:t>Azione parzialmente svolta da servizio esterno di Segreteria digitale e registro elettronico</w:t>
            </w:r>
          </w:p>
        </w:tc>
      </w:tr>
      <w:tr w:rsidR="001816A1" w:rsidTr="0072025F">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10</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Evitare l'uso di utenze amministrative locali per le macchine quando sono disponibili utenze amministrative di livello più elevato (e.g. dominio).</w:t>
            </w:r>
          </w:p>
        </w:tc>
        <w:tc>
          <w:tcPr>
            <w:tcW w:w="6125"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shd w:val="clear" w:color="auto" w:fill="FFF200"/>
              </w:rPr>
            </w:pPr>
          </w:p>
        </w:tc>
      </w:tr>
      <w:tr w:rsidR="00B55F17"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Conservare le credenziali amministrative in modo da garantirne disponibilità e riservatezza.</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2E0EF0">
              <w:t>Azione parzialmente svolta da servizio esterno di Segreteria digitale e registro elettronico</w:t>
            </w:r>
          </w:p>
        </w:tc>
      </w:tr>
      <w:tr w:rsidR="00B55F17" w:rsidTr="0072025F">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lastRenderedPageBreak/>
              <w:t>5</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Se per l'autenticazione si utilizzano certificati digitali, garantire che le chiavi private siano adeguatamente protette.</w:t>
            </w:r>
          </w:p>
        </w:tc>
        <w:tc>
          <w:tcPr>
            <w:tcW w:w="61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2E0EF0">
              <w:t>Azione parzialmente svolta da servizio esterno di Segreteria digitale e registro elettronico</w:t>
            </w:r>
          </w:p>
        </w:tc>
      </w:tr>
    </w:tbl>
    <w:p w:rsidR="001816A1" w:rsidRDefault="001816A1">
      <w:pPr>
        <w:pStyle w:val="Standard"/>
      </w:pPr>
    </w:p>
    <w:p w:rsidR="001816A1" w:rsidRDefault="00E369FD">
      <w:pPr>
        <w:pStyle w:val="Standard"/>
      </w:pPr>
      <w:r>
        <w:t>ABSC 8 (CSC 8): DIFESE CONTRO I MALWARE</w:t>
      </w:r>
    </w:p>
    <w:tbl>
      <w:tblPr>
        <w:tblW w:w="14708" w:type="dxa"/>
        <w:tblLayout w:type="fixed"/>
        <w:tblCellMar>
          <w:left w:w="10" w:type="dxa"/>
          <w:right w:w="10" w:type="dxa"/>
        </w:tblCellMar>
        <w:tblLook w:val="04A0"/>
      </w:tblPr>
      <w:tblGrid>
        <w:gridCol w:w="533"/>
        <w:gridCol w:w="567"/>
        <w:gridCol w:w="567"/>
        <w:gridCol w:w="851"/>
        <w:gridCol w:w="5953"/>
        <w:gridCol w:w="6237"/>
      </w:tblGrid>
      <w:tr w:rsidR="001816A1">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Installare su tutti i sistemi connessi alla rete locale strumenti atti a rilevare la presenza e bloccare l'esecuzione di malware (antivirus locali). Tali strumenti sono mantenuti aggiornati in modo automatico.</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Su tutti i PC, portatili e server è installato un antivirus con aggiornamento automatico.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Installare su tutti i dispositivi firewall ed IPS personali.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rsidP="008C7ACC">
            <w:pPr>
              <w:pStyle w:val="Standard"/>
              <w:spacing w:after="0" w:line="240" w:lineRule="auto"/>
            </w:pPr>
            <w:r>
              <w:t xml:space="preserve">Su tutti i PC, portatili e server Windows è attivato il firewall di Windows. </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Gli eventi rilevati dagli strumenti sono inviati ad un repository centrale (syslog) dove sono stabilmente archiviati.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Tutti gli strumenti di cui in ABSC_8.1 sono monitorati e gestiti centralmente. Non è consentito agli utenti alterarne la configurazione.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È possibile forzare manualmente dalla console centrale l'aggiornamento dei sistemi anti-malware installati su ciascun dispositivo. La corretta esecuzione dell'aggiornamento è automaticamente verificata e riportata alla console centrale.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L'analisi dei potenziali malware è effettuata su di un'infrastruttura dedicata, eventualmente basata sul cloud.</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Limitare l'uso di dispositivi esterni a quelli necessari per le attività aziendali.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rsidP="008C7ACC">
            <w:pPr>
              <w:pStyle w:val="Standard"/>
              <w:spacing w:after="0" w:line="240" w:lineRule="auto"/>
            </w:pPr>
            <w:r>
              <w:t>Verrà data indicazione ai dipendenti</w:t>
            </w:r>
            <w:r w:rsidR="00E369FD">
              <w:t xml:space="preserve"> di limitare l’uso di dispositivi esterni a quelli necessari per le attività aziendali.</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Monitorare l'uso e i tentativi di utilizzo di dispositivi esterni.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Abilitare le funzioni atte a contrastare lo sfruttamento delle vulnerabilità, quali Data Execution Prevention (DEP), Address Space Layout Randomization (ASLR), virtualizzazione, confinamento, etc. disponibili nel software di base.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Installare strumenti aggiuntivi di contrasto allo sfruttamento delle vulnerabilità,  ad esempio quelli forniti come opzione dai produttori di sistemi operativi.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i/>
                <w:iCs/>
                <w:shd w:val="clear" w:color="auto" w:fill="FFFF99"/>
              </w:rPr>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 xml:space="preserve">Usare strumenti di filtraggio che operano sull'intero flusso del </w:t>
            </w:r>
            <w:r>
              <w:lastRenderedPageBreak/>
              <w:t>traffico di rete per impedire che il codice malevolo raggiunga gli host.</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Installare sistemi di analisi avanzata del software sospetto.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Monitorare, analizzare ed eventualmente bloccare gli accessi a indirizzi che abbiano una cattiva reputazione.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Disattivare l'esecuzione automatica dei contenuti al momento della connessione dei dispositivi removibili.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E’ stata data disposizione agli amministratori di sistema di configurare in tal senso le postazioni di lavoro.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Disattivare l'esecuzione automatica dei contenuti dinamici (e.g. macro) presenti nei file.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rsidP="008C7ACC">
            <w:pPr>
              <w:pStyle w:val="Standard"/>
              <w:spacing w:after="0" w:line="240" w:lineRule="auto"/>
              <w:rPr>
                <w:i/>
                <w:iCs/>
                <w:shd w:val="clear" w:color="auto" w:fill="FFFF99"/>
              </w:rPr>
            </w:pPr>
            <w:r>
              <w:t xml:space="preserve">Verrà </w:t>
            </w:r>
            <w:r w:rsidR="00E369FD">
              <w:t>data disposizione a</w:t>
            </w:r>
            <w:r>
              <w:t xml:space="preserve">ll’Amministratore di sistema </w:t>
            </w:r>
            <w:r w:rsidR="00E369FD">
              <w:t>di configurare in tal senso le postazioni di lavoro.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Disattivare l'apertura automatica dei messaggi di posta elettronica.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pPr>
              <w:pStyle w:val="Standard"/>
              <w:spacing w:after="0" w:line="240" w:lineRule="auto"/>
            </w:pPr>
            <w:r>
              <w:t>Verrà data disposizione all’Amministratore di sistema di configurare in tal senso le postazioni di lavoro.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7</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Disattivare l'anteprima automatica dei contenuti dei file.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pPr>
              <w:pStyle w:val="Standard"/>
              <w:spacing w:after="0" w:line="240" w:lineRule="auto"/>
            </w:pPr>
            <w:r>
              <w:t>Verrà data disposizione all’Amministratore di sistema di configurare in tal senso le postazioni di lavoro.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Eseguire automaticamente una scansione anti-malware dei supporti rimuovibili al momento della loro connessione.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pPr>
              <w:pStyle w:val="Standard"/>
              <w:spacing w:after="0" w:line="240" w:lineRule="auto"/>
            </w:pPr>
            <w:r>
              <w:t>Verrà data disposizione all’Amministratore di sistema di configurare in tal senso le postazioni di lavoro.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9</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Filtrare il contenuto dei messaggi di posta prima che questi raggiungano la casella del destinatario, prevedendo anche l'impiego di strumenti antispam.</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9</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Filtrare il contenuto del traffico web.</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Pr="008C7ACC" w:rsidRDefault="008C7ACC">
            <w:pPr>
              <w:pStyle w:val="Standard"/>
              <w:spacing w:after="0" w:line="240" w:lineRule="auto"/>
            </w:pPr>
            <w:r>
              <w:t>Verranno</w:t>
            </w:r>
            <w:r w:rsidR="00E369FD">
              <w:t xml:space="preserve"> date disposizioni a</w:t>
            </w:r>
            <w:r>
              <w:t>ll’Amministratore</w:t>
            </w:r>
            <w:r w:rsidR="00E369FD">
              <w:t xml:space="preserve"> di sistema di configurare il software antivirus delle postazioni di lavoro in tal senso.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9</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Bloccare nella posta elettronica e nel traffico web i file la cui tipologia non è strettamente necessaria per l'organizzazione ed è potenzialmente pericolosa (e.g. .cab).</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8C7ACC">
            <w:pPr>
              <w:pStyle w:val="Standard"/>
              <w:spacing w:after="0" w:line="240" w:lineRule="auto"/>
            </w:pPr>
            <w:r>
              <w:t>Verranno date disposizioni all’Amministratore di sistema di configurare il software antivirus delle postazioni di lavoro in tal senso.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10</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strumenti anti-malware che sfruttino, oltre alle firme, tecniche di rilevazione basate sulle anomalie di comportamento.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8</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11</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Implementare una procedura di risposta agli incidenti che preveda la trasmissione al provider di sicurezza dei campioni di software sospetto per la generazione di firme personalizzate.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1816A1" w:rsidRDefault="00E369FD">
      <w:pPr>
        <w:pStyle w:val="Standard"/>
      </w:pPr>
      <w:r>
        <w:t>ABSC 10 (CSC 10): COPIE DI SICUREZZA</w:t>
      </w:r>
    </w:p>
    <w:tbl>
      <w:tblPr>
        <w:tblW w:w="14708" w:type="dxa"/>
        <w:tblLayout w:type="fixed"/>
        <w:tblCellMar>
          <w:left w:w="10" w:type="dxa"/>
          <w:right w:w="10" w:type="dxa"/>
        </w:tblCellMar>
        <w:tblLook w:val="04A0"/>
      </w:tblPr>
      <w:tblGrid>
        <w:gridCol w:w="533"/>
        <w:gridCol w:w="567"/>
        <w:gridCol w:w="567"/>
        <w:gridCol w:w="851"/>
        <w:gridCol w:w="5953"/>
        <w:gridCol w:w="6237"/>
      </w:tblGrid>
      <w:tr w:rsidR="001816A1">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rsidTr="00FA3A5B">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lastRenderedPageBreak/>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Effettuare almeno settimanalmente una copia di sicurezza almeno delle informazioni strettamente necessarie per il completo ripristino del sistema.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sidP="00B55F17">
            <w:pPr>
              <w:pStyle w:val="Standard"/>
              <w:spacing w:after="0" w:line="240" w:lineRule="auto"/>
            </w:pPr>
            <w:r>
              <w:t>Azione parzialmente svolta da servizio esterno di Segreteria digitale e registro elettronico</w:t>
            </w:r>
          </w:p>
          <w:p w:rsidR="008B08D9" w:rsidRDefault="008B08D9" w:rsidP="0003644E">
            <w:pPr>
              <w:pStyle w:val="Standard"/>
              <w:spacing w:after="0" w:line="240" w:lineRule="auto"/>
            </w:pPr>
            <w:r>
              <w:t>Dei documenti prodotti e conservati nella rete di Istituto ad uso della Segreteria viene fatto</w:t>
            </w:r>
            <w:r w:rsidR="0003644E">
              <w:t xml:space="preserve"> un backup in automatico giornaliero; dei dati contenuti nella banca dati SISSI viene fatto manualmente un backup settimanale; di tutto il materiale prodotto in Segreteria viene fatto un ulteriore backup su supporto esterno una volta al mese.</w:t>
            </w:r>
          </w:p>
        </w:tc>
      </w:tr>
      <w:tr w:rsidR="00B55F17" w:rsidTr="00FA3A5B">
        <w:tc>
          <w:tcPr>
            <w:tcW w:w="53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A</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rPr>
                <w:b/>
              </w:rPr>
            </w:pPr>
            <w:r w:rsidRPr="00FA3A5B">
              <w:rPr>
                <w:b/>
              </w:rPr>
              <w:t>Per assicurare la capacità di recupero di un sistema dal proprio backup, le procedure di backup devono riguardare il sistema operativo, le applicazioni software e la parte dati.</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Default="00B55F17">
            <w:r w:rsidRPr="00965EEF">
              <w:t>Azione parzialmente svolta da servizio esterno di Segreteria digitale e registro elettronico</w:t>
            </w:r>
          </w:p>
        </w:tc>
      </w:tr>
      <w:tr w:rsidR="00B55F17" w:rsidTr="00FA3A5B">
        <w:tc>
          <w:tcPr>
            <w:tcW w:w="53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3</w:t>
            </w:r>
          </w:p>
        </w:tc>
        <w:tc>
          <w:tcPr>
            <w:tcW w:w="85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jc w:val="center"/>
              <w:rPr>
                <w:b/>
              </w:rPr>
            </w:pPr>
            <w:r w:rsidRPr="00FA3A5B">
              <w:rPr>
                <w:b/>
              </w:rPr>
              <w:t>A</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Pr="00FA3A5B" w:rsidRDefault="00B55F17">
            <w:pPr>
              <w:pStyle w:val="Standard"/>
              <w:spacing w:after="0" w:line="240" w:lineRule="auto"/>
              <w:rPr>
                <w:b/>
              </w:rPr>
            </w:pPr>
            <w:r w:rsidRPr="00FA3A5B">
              <w:rPr>
                <w:b/>
              </w:rPr>
              <w:t>Effettuare backup multipli con strumenti diversi per contrastare possibili malfunzionamenti nella fase di restore.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13" w:type="dxa"/>
              <w:bottom w:w="0" w:type="dxa"/>
              <w:right w:w="108" w:type="dxa"/>
            </w:tcMar>
          </w:tcPr>
          <w:p w:rsidR="00B55F17" w:rsidRDefault="00B55F17">
            <w:r w:rsidRPr="00965EEF">
              <w:t>Azione parzialmente svolta da servizio esterno di Segreteria digitale e registro elettronico</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10</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E369FD">
            <w:pPr>
              <w:pStyle w:val="Standard"/>
              <w:spacing w:after="0" w:line="240" w:lineRule="auto"/>
            </w:pPr>
            <w:r>
              <w:t>Verificare periodicamente l'utilizzabilità delle copie mediante ripristino di prova.</w:t>
            </w:r>
          </w:p>
        </w:tc>
        <w:tc>
          <w:tcPr>
            <w:tcW w:w="6237"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1816A1" w:rsidRDefault="00196BC7">
            <w:pPr>
              <w:pStyle w:val="Standard"/>
              <w:spacing w:after="0" w:line="240" w:lineRule="auto"/>
              <w:rPr>
                <w:shd w:val="clear" w:color="auto" w:fill="FFF200"/>
              </w:rPr>
            </w:pPr>
            <w:r>
              <w:t>Vedi 10.1.2A</w:t>
            </w:r>
          </w:p>
        </w:tc>
      </w:tr>
      <w:tr w:rsidR="00B55F17">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Assicurare la riservatezza delle informazioni contenute nelle copie di sicurezza mediante adeguata protezione fisica dei supporti ovvero mediante cifratura. La codifica effettuata prima della trasmissione consente la remotizzazione del backup anche nel cloud.</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102EE9">
              <w:t>Azione parzialmente svolta da servizio esterno di Segreteria digitale e registro elettronico</w:t>
            </w:r>
          </w:p>
        </w:tc>
      </w:tr>
      <w:tr w:rsidR="00B55F17">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4</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pPr>
              <w:pStyle w:val="Standard"/>
              <w:spacing w:after="0" w:line="240" w:lineRule="auto"/>
              <w:rPr>
                <w:b/>
              </w:rPr>
            </w:pPr>
            <w:r>
              <w:rPr>
                <w:b/>
              </w:rPr>
              <w:t>Assicurarsi che i supporti contenenti almeno una delle copie non siano permanentemente accessibili dal sistema onde evitare che attacchi su questo possano coinvolgere anche tutte le sue copie di sicurezza.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55F17" w:rsidRDefault="00B55F17">
            <w:r w:rsidRPr="00102EE9">
              <w:t>Azione parzialmente svolta da servizio esterno di Segreteria digitale e registro elettronico</w:t>
            </w:r>
          </w:p>
        </w:tc>
      </w:tr>
    </w:tbl>
    <w:p w:rsidR="001816A1" w:rsidRDefault="001816A1">
      <w:pPr>
        <w:pStyle w:val="Standard"/>
      </w:pPr>
    </w:p>
    <w:p w:rsidR="006713E2" w:rsidRDefault="006713E2">
      <w:pPr>
        <w:pStyle w:val="Standard"/>
      </w:pPr>
    </w:p>
    <w:p w:rsidR="006713E2" w:rsidRDefault="006713E2">
      <w:pPr>
        <w:pStyle w:val="Standard"/>
      </w:pPr>
    </w:p>
    <w:p w:rsidR="006713E2" w:rsidRDefault="006713E2">
      <w:pPr>
        <w:pStyle w:val="Standard"/>
      </w:pPr>
    </w:p>
    <w:p w:rsidR="001816A1" w:rsidRDefault="00E369FD">
      <w:pPr>
        <w:pStyle w:val="Standard"/>
      </w:pPr>
      <w:r>
        <w:t>ABSC 13 (CSC 13): PROTEZIONE DEI DATI</w:t>
      </w:r>
    </w:p>
    <w:tbl>
      <w:tblPr>
        <w:tblW w:w="14708" w:type="dxa"/>
        <w:tblLayout w:type="fixed"/>
        <w:tblCellMar>
          <w:left w:w="10" w:type="dxa"/>
          <w:right w:w="10" w:type="dxa"/>
        </w:tblCellMar>
        <w:tblLook w:val="04A0"/>
      </w:tblPr>
      <w:tblGrid>
        <w:gridCol w:w="533"/>
        <w:gridCol w:w="567"/>
        <w:gridCol w:w="567"/>
        <w:gridCol w:w="851"/>
        <w:gridCol w:w="5953"/>
        <w:gridCol w:w="6237"/>
      </w:tblGrid>
      <w:tr w:rsidR="001816A1">
        <w:tc>
          <w:tcPr>
            <w:tcW w:w="166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ABSC_ID</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Livello</w:t>
            </w:r>
          </w:p>
        </w:tc>
        <w:tc>
          <w:tcPr>
            <w:tcW w:w="59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Descrizione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1816A1" w:rsidRDefault="00E369FD">
            <w:pPr>
              <w:pStyle w:val="Standard"/>
              <w:spacing w:after="0" w:line="240" w:lineRule="auto"/>
              <w:jc w:val="center"/>
            </w:pPr>
            <w:r>
              <w:t>Modalità di implementazione</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 xml:space="preserve">Effettuare un'analisi dei dati per individuare quelli con </w:t>
            </w:r>
            <w:r>
              <w:rPr>
                <w:b/>
              </w:rPr>
              <w:lastRenderedPageBreak/>
              <w:t>particolari requisiti di riservatezza (dati rilevanti) e segnatamente quelli ai quali va applicata la protezione crittografica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FA3A5B">
            <w:pPr>
              <w:pStyle w:val="Standard"/>
              <w:spacing w:after="0" w:line="240" w:lineRule="auto"/>
              <w:rPr>
                <w:i/>
                <w:iCs/>
                <w:shd w:val="clear" w:color="auto" w:fill="FFFF99"/>
              </w:rPr>
            </w:pPr>
            <w:r>
              <w:lastRenderedPageBreak/>
              <w:t>Misura da implementare.</w:t>
            </w: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lastRenderedPageBreak/>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S</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sistemi di cifratura per i dispositivi portatili e i sistemi che contengono informazioni rilevanti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shd w:val="clear" w:color="auto" w:fill="FFF200"/>
              </w:rPr>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sul perimetro della rete strumenti automatici per bloccare, limitare ovvero monitorare in maniera puntuale, sul traffico uscente dalla propria rete, l'impiego di crittografia non autorizzata o l'accesso a siti che consentano lo scambio e la potenziale esfiltrazione di informazioni.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4</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Effettuare periodiche scansioni, attraverso sistemi automatizzati, in grado di rilevare sui server la presenza di specifici "data pattern", significativi per l'Amministrazione, al fine di evidenziare l'esistenza di dati rilevanti in chiaro.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Nel caso in cui non sia strettamente necessario l'utilizzo di dispositivi esterni, implementare sistemi/configurazioni che impediscano la scrittura di dati su tali supporti.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5</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rPr>
                <w:i/>
                <w:iCs/>
                <w:shd w:val="clear" w:color="auto" w:fill="FFFF99"/>
              </w:rPr>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Implementare strumenti DLP (Data Loss Prevention) di rete per monitorare e controllare i flussi di dati all'interno della rete in maniera da evidenziare eventuali anomalie.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6</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Qualsiasi anomalia rispetto al normale traffico di rete deve essere registrata anche per consentirne l'analisi off line.</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7</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Monitorare il traffico uscente rilevando le connessioni che usano la crittografia senza che ciò sia previsto.</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13</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8</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1</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jc w:val="center"/>
              <w:rPr>
                <w:b/>
              </w:rPr>
            </w:pPr>
            <w:r>
              <w:rPr>
                <w:b/>
              </w:rPr>
              <w:t>M</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rPr>
                <w:b/>
              </w:rPr>
            </w:pPr>
            <w:r>
              <w:rPr>
                <w:b/>
              </w:rPr>
              <w:t>Bloccare il traffico da e verso url presenti in una blacklist.</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816A1" w:rsidRDefault="00E369FD">
            <w:pPr>
              <w:pStyle w:val="Standard"/>
              <w:spacing w:after="0" w:line="240" w:lineRule="auto"/>
            </w:pPr>
            <w:r>
              <w:t>Vedi misura 8.9.2</w:t>
            </w:r>
          </w:p>
          <w:p w:rsidR="001816A1" w:rsidRDefault="001816A1">
            <w:pPr>
              <w:pStyle w:val="Standard"/>
              <w:spacing w:after="0" w:line="240" w:lineRule="auto"/>
            </w:pPr>
          </w:p>
        </w:tc>
      </w:tr>
      <w:tr w:rsidR="001816A1">
        <w:tc>
          <w:tcPr>
            <w:tcW w:w="53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13</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9</w:t>
            </w:r>
          </w:p>
        </w:tc>
        <w:tc>
          <w:tcPr>
            <w:tcW w:w="56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1</w:t>
            </w:r>
          </w:p>
        </w:tc>
        <w:tc>
          <w:tcPr>
            <w:tcW w:w="851"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jc w:val="center"/>
            </w:pPr>
            <w:r>
              <w:t>A</w:t>
            </w:r>
          </w:p>
        </w:tc>
        <w:tc>
          <w:tcPr>
            <w:tcW w:w="5953"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E369FD">
            <w:pPr>
              <w:pStyle w:val="Standard"/>
              <w:spacing w:after="0" w:line="240" w:lineRule="auto"/>
            </w:pPr>
            <w:r>
              <w:t xml:space="preserve">Assicurare che la copia di un file fatta in modo autorizzato mantenga le limitazioni di accesso della sorgente, ad esempio attraverso sistemi che implementino le regole di controllo degli accessi (e.g. Access Control List) anche quando i dati sono </w:t>
            </w:r>
            <w:r>
              <w:lastRenderedPageBreak/>
              <w:t>trasferiti al di fuori del loro repository.</w:t>
            </w:r>
          </w:p>
        </w:tc>
        <w:tc>
          <w:tcPr>
            <w:tcW w:w="6237" w:type="dxa"/>
            <w:tcBorders>
              <w:top w:val="single" w:sz="4" w:space="0" w:color="00000A"/>
              <w:left w:val="single" w:sz="4" w:space="0" w:color="00000A"/>
              <w:bottom w:val="single" w:sz="4" w:space="0" w:color="00000A"/>
              <w:right w:val="single" w:sz="4" w:space="0" w:color="00000A"/>
            </w:tcBorders>
            <w:shd w:val="clear" w:color="auto" w:fill="999999"/>
            <w:tcMar>
              <w:top w:w="0" w:type="dxa"/>
              <w:left w:w="113" w:type="dxa"/>
              <w:bottom w:w="0" w:type="dxa"/>
              <w:right w:w="108" w:type="dxa"/>
            </w:tcMar>
          </w:tcPr>
          <w:p w:rsidR="001816A1" w:rsidRDefault="001816A1">
            <w:pPr>
              <w:pStyle w:val="Standard"/>
              <w:spacing w:after="0" w:line="240" w:lineRule="auto"/>
            </w:pPr>
          </w:p>
        </w:tc>
      </w:tr>
    </w:tbl>
    <w:p w:rsidR="001816A1" w:rsidRDefault="001816A1">
      <w:pPr>
        <w:pStyle w:val="Standard"/>
      </w:pPr>
    </w:p>
    <w:p w:rsidR="00452930" w:rsidRDefault="00452930">
      <w:pPr>
        <w:suppressAutoHyphens w:val="0"/>
      </w:pPr>
    </w:p>
    <w:sectPr w:rsidR="00452930" w:rsidSect="006B7244">
      <w:pgSz w:w="16838" w:h="11906" w:orient="landscape"/>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8D9" w:rsidRDefault="008B08D9">
      <w:r>
        <w:separator/>
      </w:r>
    </w:p>
  </w:endnote>
  <w:endnote w:type="continuationSeparator" w:id="0">
    <w:p w:rsidR="008B08D9" w:rsidRDefault="008B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8D9" w:rsidRDefault="008B08D9">
      <w:r>
        <w:rPr>
          <w:color w:val="000000"/>
        </w:rPr>
        <w:separator/>
      </w:r>
    </w:p>
  </w:footnote>
  <w:footnote w:type="continuationSeparator" w:id="0">
    <w:p w:rsidR="008B08D9" w:rsidRDefault="008B0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141"/>
    <w:multiLevelType w:val="hybridMultilevel"/>
    <w:tmpl w:val="4F748C4C"/>
    <w:lvl w:ilvl="0" w:tplc="79E826C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F7446A"/>
    <w:multiLevelType w:val="multilevel"/>
    <w:tmpl w:val="8CB20A74"/>
    <w:lvl w:ilvl="0">
      <w:numFmt w:val="bullet"/>
      <w:lvlText w:val="•"/>
      <w:lvlJc w:val="left"/>
      <w:pPr>
        <w:ind w:left="768" w:hanging="360"/>
      </w:pPr>
      <w:rPr>
        <w:rFonts w:ascii="OpenSymbol" w:eastAsia="OpenSymbol" w:hAnsi="OpenSymbol" w:cs="OpenSymbol"/>
      </w:rPr>
    </w:lvl>
    <w:lvl w:ilvl="1">
      <w:numFmt w:val="bullet"/>
      <w:lvlText w:val="◦"/>
      <w:lvlJc w:val="left"/>
      <w:pPr>
        <w:ind w:left="1128" w:hanging="360"/>
      </w:pPr>
      <w:rPr>
        <w:rFonts w:ascii="OpenSymbol" w:eastAsia="OpenSymbol" w:hAnsi="OpenSymbol" w:cs="OpenSymbol"/>
      </w:rPr>
    </w:lvl>
    <w:lvl w:ilvl="2">
      <w:numFmt w:val="bullet"/>
      <w:lvlText w:val="▪"/>
      <w:lvlJc w:val="left"/>
      <w:pPr>
        <w:ind w:left="1488" w:hanging="360"/>
      </w:pPr>
      <w:rPr>
        <w:rFonts w:ascii="OpenSymbol" w:eastAsia="OpenSymbol" w:hAnsi="OpenSymbol" w:cs="OpenSymbol"/>
      </w:rPr>
    </w:lvl>
    <w:lvl w:ilvl="3">
      <w:numFmt w:val="bullet"/>
      <w:lvlText w:val="•"/>
      <w:lvlJc w:val="left"/>
      <w:pPr>
        <w:ind w:left="1848" w:hanging="360"/>
      </w:pPr>
      <w:rPr>
        <w:rFonts w:ascii="OpenSymbol" w:eastAsia="OpenSymbol" w:hAnsi="OpenSymbol" w:cs="OpenSymbol"/>
      </w:rPr>
    </w:lvl>
    <w:lvl w:ilvl="4">
      <w:numFmt w:val="bullet"/>
      <w:lvlText w:val="◦"/>
      <w:lvlJc w:val="left"/>
      <w:pPr>
        <w:ind w:left="2208" w:hanging="360"/>
      </w:pPr>
      <w:rPr>
        <w:rFonts w:ascii="OpenSymbol" w:eastAsia="OpenSymbol" w:hAnsi="OpenSymbol" w:cs="OpenSymbol"/>
      </w:rPr>
    </w:lvl>
    <w:lvl w:ilvl="5">
      <w:numFmt w:val="bullet"/>
      <w:lvlText w:val="▪"/>
      <w:lvlJc w:val="left"/>
      <w:pPr>
        <w:ind w:left="2568" w:hanging="360"/>
      </w:pPr>
      <w:rPr>
        <w:rFonts w:ascii="OpenSymbol" w:eastAsia="OpenSymbol" w:hAnsi="OpenSymbol" w:cs="OpenSymbol"/>
      </w:rPr>
    </w:lvl>
    <w:lvl w:ilvl="6">
      <w:numFmt w:val="bullet"/>
      <w:lvlText w:val="•"/>
      <w:lvlJc w:val="left"/>
      <w:pPr>
        <w:ind w:left="2928" w:hanging="360"/>
      </w:pPr>
      <w:rPr>
        <w:rFonts w:ascii="OpenSymbol" w:eastAsia="OpenSymbol" w:hAnsi="OpenSymbol" w:cs="OpenSymbol"/>
      </w:rPr>
    </w:lvl>
    <w:lvl w:ilvl="7">
      <w:numFmt w:val="bullet"/>
      <w:lvlText w:val="◦"/>
      <w:lvlJc w:val="left"/>
      <w:pPr>
        <w:ind w:left="3288" w:hanging="360"/>
      </w:pPr>
      <w:rPr>
        <w:rFonts w:ascii="OpenSymbol" w:eastAsia="OpenSymbol" w:hAnsi="OpenSymbol" w:cs="OpenSymbol"/>
      </w:rPr>
    </w:lvl>
    <w:lvl w:ilvl="8">
      <w:numFmt w:val="bullet"/>
      <w:lvlText w:val="▪"/>
      <w:lvlJc w:val="left"/>
      <w:pPr>
        <w:ind w:left="3648" w:hanging="360"/>
      </w:pPr>
      <w:rPr>
        <w:rFonts w:ascii="OpenSymbol" w:eastAsia="OpenSymbol" w:hAnsi="OpenSymbol" w:cs="OpenSymbol"/>
      </w:rPr>
    </w:lvl>
  </w:abstractNum>
  <w:abstractNum w:abstractNumId="2">
    <w:nsid w:val="19713190"/>
    <w:multiLevelType w:val="multilevel"/>
    <w:tmpl w:val="2FCCFD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F356BF7"/>
    <w:multiLevelType w:val="hybridMultilevel"/>
    <w:tmpl w:val="3A924144"/>
    <w:lvl w:ilvl="0" w:tplc="79E826C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69061B"/>
    <w:multiLevelType w:val="multilevel"/>
    <w:tmpl w:val="D3E200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3DEF3E2B"/>
    <w:multiLevelType w:val="multilevel"/>
    <w:tmpl w:val="717ABD9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4261FEC"/>
    <w:multiLevelType w:val="multilevel"/>
    <w:tmpl w:val="C504CC54"/>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4F0C3C18"/>
    <w:multiLevelType w:val="multilevel"/>
    <w:tmpl w:val="400C91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505A5E06"/>
    <w:multiLevelType w:val="multilevel"/>
    <w:tmpl w:val="A5D447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5BFB7DE1"/>
    <w:multiLevelType w:val="multilevel"/>
    <w:tmpl w:val="D44857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5D5A1BF8"/>
    <w:multiLevelType w:val="multilevel"/>
    <w:tmpl w:val="8506C0A4"/>
    <w:styleLink w:val="WWNum9"/>
    <w:lvl w:ilvl="0">
      <w:numFmt w:val="bullet"/>
      <w:lvlText w:val="-"/>
      <w:lvlJc w:val="left"/>
      <w:pPr>
        <w:ind w:left="720" w:hanging="360"/>
      </w:pPr>
      <w:rPr>
        <w:rFonts w:ascii="Arial Narrow" w:eastAsia="Times New Roman" w:hAnsi="Arial Narrow"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5DA134FC"/>
    <w:multiLevelType w:val="multilevel"/>
    <w:tmpl w:val="D5465900"/>
    <w:styleLink w:val="WWNum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nsid w:val="778F6FED"/>
    <w:multiLevelType w:val="multilevel"/>
    <w:tmpl w:val="7150965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9"/>
  </w:num>
  <w:num w:numId="6">
    <w:abstractNumId w:val="4"/>
  </w:num>
  <w:num w:numId="7">
    <w:abstractNumId w:val="7"/>
  </w:num>
  <w:num w:numId="8">
    <w:abstractNumId w:val="5"/>
  </w:num>
  <w:num w:numId="9">
    <w:abstractNumId w:val="12"/>
  </w:num>
  <w:num w:numId="10">
    <w:abstractNumId w:val="8"/>
  </w:num>
  <w:num w:numId="11">
    <w:abstractNumId w:val="11"/>
  </w:num>
  <w:num w:numId="12">
    <w:abstractNumId w:val="10"/>
  </w:num>
  <w:num w:numId="13">
    <w:abstractNumId w:val="12"/>
    <w:lvlOverride w:ilvl="0">
      <w:startOverride w:val="1"/>
    </w:lvlOverride>
  </w:num>
  <w:num w:numId="14">
    <w:abstractNumId w:val="11"/>
    <w:lvlOverride w:ilvl="0">
      <w:startOverride w:val="1"/>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rsids>
    <w:rsidRoot w:val="001816A1"/>
    <w:rsid w:val="0003644E"/>
    <w:rsid w:val="00064FBC"/>
    <w:rsid w:val="000A0987"/>
    <w:rsid w:val="00123667"/>
    <w:rsid w:val="001816A1"/>
    <w:rsid w:val="00196BC7"/>
    <w:rsid w:val="001D3C51"/>
    <w:rsid w:val="002965CD"/>
    <w:rsid w:val="00352975"/>
    <w:rsid w:val="004164E0"/>
    <w:rsid w:val="00441DEF"/>
    <w:rsid w:val="00452930"/>
    <w:rsid w:val="004714DB"/>
    <w:rsid w:val="004723B7"/>
    <w:rsid w:val="004756D3"/>
    <w:rsid w:val="004E0180"/>
    <w:rsid w:val="004E3E92"/>
    <w:rsid w:val="004F6265"/>
    <w:rsid w:val="0052699E"/>
    <w:rsid w:val="0053659B"/>
    <w:rsid w:val="006713E2"/>
    <w:rsid w:val="006B7244"/>
    <w:rsid w:val="006F25F4"/>
    <w:rsid w:val="006F2635"/>
    <w:rsid w:val="0072025F"/>
    <w:rsid w:val="007D1E39"/>
    <w:rsid w:val="007F6D9A"/>
    <w:rsid w:val="008B08D9"/>
    <w:rsid w:val="008C7ACC"/>
    <w:rsid w:val="0092308F"/>
    <w:rsid w:val="009C11B9"/>
    <w:rsid w:val="009F4A2F"/>
    <w:rsid w:val="00B05FCD"/>
    <w:rsid w:val="00B55F17"/>
    <w:rsid w:val="00B64833"/>
    <w:rsid w:val="00C13F96"/>
    <w:rsid w:val="00C27886"/>
    <w:rsid w:val="00C47994"/>
    <w:rsid w:val="00C65A71"/>
    <w:rsid w:val="00C832C8"/>
    <w:rsid w:val="00D448C0"/>
    <w:rsid w:val="00DB34AF"/>
    <w:rsid w:val="00DE3FEB"/>
    <w:rsid w:val="00E369FD"/>
    <w:rsid w:val="00E62092"/>
    <w:rsid w:val="00EB5FC2"/>
    <w:rsid w:val="00F33713"/>
    <w:rsid w:val="00FA3A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it-IT"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724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B7244"/>
    <w:pPr>
      <w:widowControl/>
      <w:suppressAutoHyphens/>
      <w:spacing w:after="200" w:line="276" w:lineRule="auto"/>
    </w:pPr>
  </w:style>
  <w:style w:type="paragraph" w:customStyle="1" w:styleId="Heading">
    <w:name w:val="Heading"/>
    <w:basedOn w:val="Standard"/>
    <w:next w:val="Textbody"/>
    <w:rsid w:val="006B724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6B7244"/>
    <w:pPr>
      <w:spacing w:after="140" w:line="288" w:lineRule="auto"/>
    </w:pPr>
  </w:style>
  <w:style w:type="paragraph" w:styleId="Elenco">
    <w:name w:val="List"/>
    <w:basedOn w:val="Textbody"/>
    <w:rsid w:val="006B7244"/>
    <w:rPr>
      <w:rFonts w:cs="Lucida Sans"/>
      <w:sz w:val="24"/>
    </w:rPr>
  </w:style>
  <w:style w:type="paragraph" w:styleId="Didascalia">
    <w:name w:val="caption"/>
    <w:basedOn w:val="Standard"/>
    <w:rsid w:val="006B7244"/>
    <w:pPr>
      <w:suppressLineNumbers/>
      <w:spacing w:before="120" w:after="120"/>
    </w:pPr>
    <w:rPr>
      <w:rFonts w:cs="Lucida Sans"/>
      <w:i/>
      <w:iCs/>
      <w:sz w:val="24"/>
      <w:szCs w:val="24"/>
    </w:rPr>
  </w:style>
  <w:style w:type="paragraph" w:customStyle="1" w:styleId="Index">
    <w:name w:val="Index"/>
    <w:basedOn w:val="Standard"/>
    <w:rsid w:val="006B7244"/>
    <w:pPr>
      <w:suppressLineNumbers/>
    </w:pPr>
    <w:rPr>
      <w:rFonts w:cs="Lucida Sans"/>
      <w:sz w:val="24"/>
    </w:rPr>
  </w:style>
  <w:style w:type="paragraph" w:customStyle="1" w:styleId="TableContents">
    <w:name w:val="Table Contents"/>
    <w:basedOn w:val="Standard"/>
    <w:rsid w:val="006B7244"/>
  </w:style>
  <w:style w:type="paragraph" w:customStyle="1" w:styleId="TableHeading">
    <w:name w:val="Table Heading"/>
    <w:basedOn w:val="TableContents"/>
    <w:rsid w:val="006B7244"/>
  </w:style>
  <w:style w:type="character" w:customStyle="1" w:styleId="BulletSymbols">
    <w:name w:val="Bullet Symbols"/>
    <w:rsid w:val="006B7244"/>
    <w:rPr>
      <w:rFonts w:ascii="OpenSymbol" w:eastAsia="OpenSymbol" w:hAnsi="OpenSymbol" w:cs="OpenSymbol"/>
    </w:rPr>
  </w:style>
  <w:style w:type="numbering" w:customStyle="1" w:styleId="Nessunelenco1">
    <w:name w:val="Nessun elenco1"/>
    <w:basedOn w:val="Nessunelenco"/>
    <w:rsid w:val="006B7244"/>
    <w:pPr>
      <w:numPr>
        <w:numId w:val="1"/>
      </w:numPr>
    </w:pPr>
  </w:style>
  <w:style w:type="paragraph" w:styleId="Paragrafoelenco">
    <w:name w:val="List Paragraph"/>
    <w:basedOn w:val="Normale"/>
    <w:uiPriority w:val="34"/>
    <w:qFormat/>
    <w:rsid w:val="00452930"/>
    <w:pPr>
      <w:ind w:left="720"/>
      <w:contextualSpacing/>
    </w:pPr>
  </w:style>
  <w:style w:type="numbering" w:customStyle="1" w:styleId="WWNum1">
    <w:name w:val="WWNum1"/>
    <w:basedOn w:val="Nessunelenco"/>
    <w:rsid w:val="004F6265"/>
    <w:pPr>
      <w:numPr>
        <w:numId w:val="8"/>
      </w:numPr>
    </w:pPr>
  </w:style>
  <w:style w:type="numbering" w:customStyle="1" w:styleId="WWNum3">
    <w:name w:val="WWNum3"/>
    <w:basedOn w:val="Nessunelenco"/>
    <w:rsid w:val="004F6265"/>
    <w:pPr>
      <w:numPr>
        <w:numId w:val="9"/>
      </w:numPr>
    </w:pPr>
  </w:style>
  <w:style w:type="numbering" w:customStyle="1" w:styleId="WWNum4">
    <w:name w:val="WWNum4"/>
    <w:basedOn w:val="Nessunelenco"/>
    <w:rsid w:val="004F6265"/>
    <w:pPr>
      <w:numPr>
        <w:numId w:val="10"/>
      </w:numPr>
    </w:pPr>
  </w:style>
  <w:style w:type="numbering" w:customStyle="1" w:styleId="WWNum8">
    <w:name w:val="WWNum8"/>
    <w:basedOn w:val="Nessunelenco"/>
    <w:rsid w:val="004F6265"/>
    <w:pPr>
      <w:numPr>
        <w:numId w:val="11"/>
      </w:numPr>
    </w:pPr>
  </w:style>
  <w:style w:type="numbering" w:customStyle="1" w:styleId="WWNum9">
    <w:name w:val="WWNum9"/>
    <w:basedOn w:val="Nessunelenco"/>
    <w:rsid w:val="004F6265"/>
    <w:pPr>
      <w:numPr>
        <w:numId w:val="12"/>
      </w:numPr>
    </w:pPr>
  </w:style>
  <w:style w:type="table" w:styleId="Grigliatabella">
    <w:name w:val="Table Grid"/>
    <w:basedOn w:val="Tabellanormale"/>
    <w:uiPriority w:val="59"/>
    <w:rsid w:val="001D3C51"/>
    <w:pPr>
      <w:widowControl/>
      <w:autoSpaceDN/>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831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4087</Words>
  <Characters>23299</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Giustozzi Corrado</dc:creator>
  <cp:lastModifiedBy>Grazia Nocentini</cp:lastModifiedBy>
  <cp:revision>2</cp:revision>
  <cp:lastPrinted>2017-09-12T09:35:00Z</cp:lastPrinted>
  <dcterms:created xsi:type="dcterms:W3CDTF">2018-02-21T13:11:00Z</dcterms:created>
  <dcterms:modified xsi:type="dcterms:W3CDTF">2018-02-21T13:11:00Z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