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32" w:rsidRDefault="00C51CA1">
      <w:pPr>
        <w:pStyle w:val="Standard"/>
        <w:jc w:val="center"/>
        <w:rPr>
          <w:rFonts w:hint="eastAsia"/>
        </w:rPr>
      </w:pPr>
      <w:r>
        <w:t>Allegato 4</w:t>
      </w:r>
    </w:p>
    <w:p w:rsidR="008A5832" w:rsidRDefault="008A5832">
      <w:pPr>
        <w:pStyle w:val="Standard"/>
        <w:rPr>
          <w:rFonts w:hint="eastAsia"/>
        </w:rPr>
      </w:pPr>
    </w:p>
    <w:p w:rsidR="008A5832" w:rsidRDefault="008A5832">
      <w:pPr>
        <w:pStyle w:val="Standard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SCHEMA DI CONVENZIONE PER LA GESTIONE DEL SERVIZIO DI CASSA DELLE ISTITUZIONI SCOLASTICHE STATALI</w:t>
      </w:r>
    </w:p>
    <w:p w:rsidR="008A5832" w:rsidRDefault="00C51CA1">
      <w:pPr>
        <w:pStyle w:val="Standard"/>
        <w:rPr>
          <w:rFonts w:hint="eastAsia"/>
        </w:rPr>
      </w:pPr>
      <w:r>
        <w:t>C.I.G. ZA02F4FF98</w:t>
      </w:r>
      <w:bookmarkStart w:id="0" w:name="_GoBack"/>
      <w:bookmarkEnd w:id="0"/>
    </w:p>
    <w:p w:rsidR="008A5832" w:rsidRDefault="008A5832">
      <w:pPr>
        <w:pStyle w:val="Standard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TRA</w:t>
      </w:r>
    </w:p>
    <w:p w:rsidR="008A5832" w:rsidRDefault="008A5832">
      <w:pPr>
        <w:pStyle w:val="Standard"/>
        <w:rPr>
          <w:rFonts w:hint="eastAsia"/>
        </w:rPr>
      </w:pPr>
    </w:p>
    <w:p w:rsidR="008A5832" w:rsidRDefault="00C51CA1">
      <w:pPr>
        <w:pStyle w:val="Standard"/>
        <w:rPr>
          <w:rFonts w:hint="eastAsia"/>
        </w:rPr>
      </w:pPr>
      <w:r>
        <w:t xml:space="preserve">L’Istituto </w:t>
      </w:r>
      <w:r>
        <w:t>scolastico.....................................................................</w:t>
      </w:r>
    </w:p>
    <w:p w:rsidR="008A5832" w:rsidRDefault="00C51CA1">
      <w:pPr>
        <w:pStyle w:val="Standard"/>
        <w:rPr>
          <w:rFonts w:hint="eastAsia"/>
        </w:rPr>
      </w:pPr>
      <w:r>
        <w:t>(di seguito denominato “Istituto”)</w:t>
      </w:r>
    </w:p>
    <w:p w:rsidR="008A5832" w:rsidRDefault="00C51CA1">
      <w:pPr>
        <w:pStyle w:val="Standard"/>
        <w:rPr>
          <w:rFonts w:hint="eastAsia"/>
        </w:rPr>
      </w:pPr>
      <w:r>
        <w:t>con sede in........................................................…</w:t>
      </w:r>
    </w:p>
    <w:p w:rsidR="008A5832" w:rsidRDefault="00C51CA1">
      <w:pPr>
        <w:pStyle w:val="Standard"/>
        <w:rPr>
          <w:rFonts w:hint="eastAsia"/>
        </w:rPr>
      </w:pPr>
      <w:r>
        <w:t>via/piazza……..........................................................</w:t>
      </w:r>
      <w:r>
        <w:t>....…,</w:t>
      </w:r>
    </w:p>
    <w:p w:rsidR="008A5832" w:rsidRDefault="00C51CA1">
      <w:pPr>
        <w:pStyle w:val="Standard"/>
        <w:rPr>
          <w:rFonts w:hint="eastAsia"/>
        </w:rPr>
      </w:pPr>
      <w:r>
        <w:t>C.F.n. .............................................................…</w:t>
      </w:r>
    </w:p>
    <w:p w:rsidR="008A5832" w:rsidRDefault="00C51CA1">
      <w:pPr>
        <w:pStyle w:val="Standard"/>
        <w:rPr>
          <w:rFonts w:hint="eastAsia"/>
        </w:rPr>
      </w:pPr>
      <w:r>
        <w:t>rappresentato da ......................................................................................</w:t>
      </w:r>
    </w:p>
    <w:p w:rsidR="008A5832" w:rsidRDefault="00C51CA1">
      <w:pPr>
        <w:pStyle w:val="Standard"/>
        <w:rPr>
          <w:rFonts w:hint="eastAsia"/>
        </w:rPr>
      </w:pPr>
      <w:r>
        <w:t>nata/o a ..............…………………... il .....................................</w:t>
      </w:r>
      <w:r>
        <w:t>.......</w:t>
      </w:r>
    </w:p>
    <w:p w:rsidR="008A5832" w:rsidRDefault="00C51CA1">
      <w:pPr>
        <w:pStyle w:val="Standard"/>
        <w:rPr>
          <w:rFonts w:hint="eastAsia"/>
        </w:rPr>
      </w:pPr>
      <w:r>
        <w:t>nella sua qualità di Dirigente scolastico dell’Istituto.</w:t>
      </w:r>
    </w:p>
    <w:p w:rsidR="008A5832" w:rsidRDefault="008A5832">
      <w:pPr>
        <w:pStyle w:val="Standard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E</w:t>
      </w:r>
    </w:p>
    <w:p w:rsidR="008A5832" w:rsidRDefault="00C51CA1">
      <w:pPr>
        <w:pStyle w:val="Standard"/>
        <w:rPr>
          <w:rFonts w:hint="eastAsia"/>
        </w:rPr>
      </w:pPr>
      <w:r>
        <w:t>………………………………………...</w:t>
      </w:r>
    </w:p>
    <w:p w:rsidR="008A5832" w:rsidRDefault="00C51CA1">
      <w:pPr>
        <w:pStyle w:val="Standard"/>
        <w:rPr>
          <w:rFonts w:hint="eastAsia"/>
        </w:rPr>
      </w:pPr>
      <w:r>
        <w:t>(di seguito denominato “Gestore”) con sede in............................................ via/piazza………………... ........................................................</w:t>
      </w:r>
      <w:r>
        <w:t>......…</w:t>
      </w:r>
    </w:p>
    <w:p w:rsidR="008A5832" w:rsidRDefault="00C51CA1">
      <w:pPr>
        <w:pStyle w:val="Standard"/>
        <w:rPr>
          <w:rFonts w:hint="eastAsia"/>
        </w:rPr>
      </w:pPr>
      <w:r>
        <w:t>C.F. n. ....................................................................................................................</w:t>
      </w:r>
    </w:p>
    <w:p w:rsidR="008A5832" w:rsidRDefault="00C51CA1">
      <w:pPr>
        <w:pStyle w:val="Standard"/>
        <w:rPr>
          <w:rFonts w:hint="eastAsia"/>
        </w:rPr>
      </w:pPr>
      <w:r>
        <w:t xml:space="preserve">rappresentata/o da </w:t>
      </w:r>
      <w:r>
        <w:t>.............................................................................................................</w:t>
      </w:r>
    </w:p>
    <w:p w:rsidR="008A5832" w:rsidRDefault="00C51CA1">
      <w:pPr>
        <w:pStyle w:val="Standard"/>
        <w:rPr>
          <w:rFonts w:hint="eastAsia"/>
        </w:rPr>
      </w:pPr>
      <w:r>
        <w:t>nata/o a ...................................... il ...................................nella sua qualità di..........................</w:t>
      </w:r>
    </w:p>
    <w:p w:rsidR="008A5832" w:rsidRDefault="00C51CA1">
      <w:pPr>
        <w:pStyle w:val="Standard"/>
        <w:rPr>
          <w:rFonts w:hint="eastAsia"/>
        </w:rPr>
      </w:pPr>
      <w:r>
        <w:t>(di seguito</w:t>
      </w:r>
      <w:r>
        <w:t xml:space="preserve"> Istituto e Gestore, citati unitamente, sono anche denominati “Parti”).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Premesso che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l’Istituto ai sensi del D.L. 95/2012 convertito dalla Legge 135/2012 è incluso nella tabella A annessa alla legge 720/1984 ed è pertanto sottoposto a regime di Tesorer</w:t>
      </w:r>
      <w:r>
        <w:t>ia Unica di cui alla medesima legge e ss. mm. e ii., nonché ai decreti attuativi del 22 novembre 1985 e 4 agosto 2009, si conviene e si stipula quanto segue: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(AFFIDAMENTO DEL SERVIZIO DI CASSA)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Con la presente convenzione, l’Istituto, in ba</w:t>
      </w:r>
      <w:r>
        <w:t>se alla delibera dell’organo competente n……………………. del……………………………., affida il proprio servizio di cassa al Gestore che lo svolge presso…………………………………………………….. 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Il servizio di cassa è prestato in conformità ai patti stipulati con la presente convenzione,</w:t>
      </w:r>
      <w:r>
        <w:t xml:space="preserve"> nei giorni lavorativi e nelle ore in cui gli sportelli del Gestore sono aperti al pubblico.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Di comune accordo tra le Parti, potranno essere apportati alle modalità di espletamento del servizio i perfezionamenti metodologici ed informatici ritenuti nece</w:t>
      </w:r>
      <w:r>
        <w:t>ssari per migliorarne lo svolgimento. Per la formalizzazione dei relativi accordi può procedersi con scambio di lettere, anche a mezzo PEC, sottoscritte digitalmente.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2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(OGGETTO DELLA CONVENZIONE)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lastRenderedPageBreak/>
        <w:t>1. Il servizio di cassa di cui alla presente conve</w:t>
      </w:r>
      <w:r>
        <w:t>nzione ha per oggetto il complesso delle operazioni inerenti la gestione finanziaria dell’Istituto e, in particolare, la riscossione delle entrate e il pagamento delle spese facenti capo all’Istituto e dallo stesso ordinate, nonché i servizi di seguito des</w:t>
      </w:r>
      <w:r>
        <w:t>critti.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Il Gestore esegue le operazioni di cui al comma 1 nel rispetto delle norme di legge (in particolare del D.I. 28 agosto 2018, n. 129, avente ad oggetto il “Regolamento recante istruzioni generali sulla gestione amministrativo-contabile delle isti</w:t>
      </w:r>
      <w:r>
        <w:t>tuzioni scolastiche, ai sensi dell'articolo 1, comma 143, della legge 13 luglio 2015, n. 107”, della legge 720/1984 e successive modificazioni, e del D.L. 95/2012 convertito dalla Legge 135/2012) e di quelle contenute negli articoli che seguono.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L’eserc</w:t>
      </w:r>
      <w:r>
        <w:t>izio finanziario dell’Istituto ha durata annuale, con inizio il 1° gennaio e termine il 31 dicembre di ciascun anno.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Ogni deposito, comunque costituito, è intestato all’Istituto e viene gestito dal Gestore; il Gestore deve effettuare le operazioni di in</w:t>
      </w:r>
      <w:r>
        <w:t>casso e di pagamento disposte dall’Istituto a valere sulle contabilità speciali aperte presso la competente sezione di tesoreria provinciale dello Stato.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5. Il Gestore mette a disposizione tutti gli sportelli dislocati sul territorio nazionale, al fine di </w:t>
      </w:r>
      <w:r>
        <w:t>garantire la circolarità delle operazioni di incasso e pagamento presso uno qualsiasi degli stessi.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3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(CARATTERISTICHE DEL SERVIZIO)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1. Lo scambio dei dati e della documentazione inerenti il servizio è effettuato tramite sistemi informatici con </w:t>
      </w:r>
      <w:r>
        <w:t>collegamento diretto tra l’Istituto e il Gestore le cui modalità sono stabilite fra le parti. In particolare si utilizza l’ordinativo informatico locale (di seguito “OIL”) nel rispetto delle specifiche tecniche e procedurali e delle regole di colloquio def</w:t>
      </w:r>
      <w:r>
        <w:t>inite nell’Allegato tecnico sul formato dei flussi (di seguito “Allegato tecnico”) di cui alle Linee Guida di AgID del 5 Ottobre 2015 recanti l’ “Aggiornamento dello standard OIL”.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2. L’OIL è sottoscritto con firma digitale, qualificata ai sensi di legge, </w:t>
      </w:r>
      <w:r>
        <w:t>dai soggetti individuati dall’Istituto e da questi autorizzati alla trasmissione dei documenti informatici inerenti la gestione del servizio di cassa; l’Istituto, nell'ambito della propria autonomia, definisce i poteri di firma dei soggetti autorizzati a s</w:t>
      </w:r>
      <w:r>
        <w:t>ottoscrivere i documenti informatici e fornisce al Gestore gli elementi utili per individuare i soggetti firmatari ed i relativi certificati, ovvero fornisce al Gestore copia dei certificati stessi; l’Istituto si impegna a comunicare tempestivamente al Ges</w:t>
      </w:r>
      <w:r>
        <w:t>tore ogni variazione dei soggetti autorizzati alla firma.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Ai fini del riconoscimento dell’Istituto e per garantire e verificare l’integrità, la riservatezza, la legittimità e non ripudiabilità dei documenti trasmessi elettronicamente, si procede all'imp</w:t>
      </w:r>
      <w:r>
        <w:t>lementazione di un sistema di codici personali di accesso. Ciascun utente, preventivamente autorizzato dall’Istituto nelle forme prescritte, provvede direttamente alla generazione dei codici e trasmette al competente ufficio dell’Istituto ed al Gestore una</w:t>
      </w:r>
      <w:r>
        <w:t xml:space="preserve"> dichiarazione contenente il formale impegno a custodire tali codici con la più scrupolosa cura e diligenza e a non divulgarli o comunicarli ad alcuno.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L’utente è responsabile del regolare e legittimo utilizzo dei codici personali di accesso nei confron</w:t>
      </w:r>
      <w:r>
        <w:t>ti dell'Istituto; il Gestore non risponde di eventuali danni conseguenti ad usi impropri. In caso di smarrimento o furto, l'utente deve darne immediata comunicazione al Gestore, fatta salva l’eventuale denuncia alle Autorità competenti; ricevuta la suddett</w:t>
      </w:r>
      <w:r>
        <w:t>a comunicazione, il Gestore disattiva i codici smarriti o rubati. L’Istituto deve quindi provvedere alla richiesta di nuovi codici all’Ente certificatore e alla successiva comunicazione degli stessi al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L'apposizione della firma digitale al docu</w:t>
      </w:r>
      <w:r>
        <w:t>mento informatico equivale alla sottoscrizione prevista per gli atti e documenti in forma scritta su supporto cartaceo; può essere sottoscritto un flusso contenente un singolo OIL ovvero più OIL. Ai fini dell’esecuzione, della variazione o dell’annullament</w:t>
      </w:r>
      <w:r>
        <w:t>o dovranno essere considerati i singoli OIL.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6. Il flusso degli ordinativi è predisposto secondo gli standard e le specifiche tecniche indicate nell’Allegato tecnico e deve contenere tutte le informazioni e i dati previsti nella vigente normativa e nella p</w:t>
      </w:r>
      <w:r>
        <w:t>resente convenzione.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lastRenderedPageBreak/>
        <w:t>7. Il documento informatico trasmesso per via telematica si intende inviato e pervenuto al destinatario se trasmesso secondo le procedure concordate. La data e l'ora di formazione, di trasmissione o di ricezione del un documento inform</w:t>
      </w:r>
      <w:r>
        <w:t>atico si intendono bilateralmente condivise.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8. La trasmissione e la conservazione – a carico dell’Istituto - degli OIL dovranno rispettare la normativa vigente e conformarsi alle indicazioni tecniche e procedurali emanate da DigitPA (ora AgID) con la deli</w:t>
      </w:r>
      <w:r>
        <w:t>berazione n. 11/2004 e ss. mm. e ii.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9. Il Gestore, all’atto del ricevimento dei flussi contenenti gli OIL, provvede a rendere disponibile all’Istituto un messaggio attestante la ricezione del flusso; eseguita la verifica del contenuto del flusso ed acquis</w:t>
      </w:r>
      <w:r>
        <w:t xml:space="preserve">iti i dati nel proprio sistema informativo, il Gestore, direttamente o tramite il proprio polo informatico, predispone e trasmette all’Istituto, un messaggio di ritorno munito di riferimento temporale, contenente il risultato dell’acquisizione, segnalando </w:t>
      </w:r>
      <w:r>
        <w:t>i documenti presi in carico e quelli non acquisiti; per questi ultimi sarà evidenziata la causa che ne ha impedito l’acquisizione. Dalla trasmissione di detto messaggio decorrono i termini per l’eseguibilità dell’ordine conferito previsti ai seguenti artic</w:t>
      </w:r>
      <w:r>
        <w:t>oli 4 e 5.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10. I flussi inviati dall’Istituto entro le ore 17 saranno acquisiti lo stesso giorno lavorativo (o bancario a seconda dell’istituto cassiere) mentre eventuali flussi che pervenissero al Gestore oltre l’orario indicato saranno assunti in carico </w:t>
      </w:r>
      <w:r>
        <w:t>nel giorno lavorativo successivo.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11. L’Istituto potrà inviare variazioni o annullamenti di OIL precedentemente trasmessi e non ancora eseguiti. Nel caso in cui gli annullamenti o le variazioni riguardino OIL già eseguiti dal Gestore, non sarà possibile ac</w:t>
      </w:r>
      <w:r>
        <w:t>cettare l’annullamento o la variazione della disposizione e della quietanza, fatta eccezione per le variazioni di elementi non essenziali ai fini della validità e della regolarità dell’operazione.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12. A seguito dell’avvenuto pagamento o incasso, il Gestore</w:t>
      </w:r>
      <w:r>
        <w:t xml:space="preserve"> predispone ed invia giornalmente all’Istituto un messaggio di esito applicativo munito di riferimento temporale contenente, a comprova e discarico, la conferma dell’esecuzione dell’OIL; in caso di pagamento per cassa, la quietanza del creditore raccolta s</w:t>
      </w:r>
      <w:r>
        <w:t>u foglio separato è trattenuta tra gli atti del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13. Nelle ipotesi eccezionali in cui per cause oggettive inerenti i canali trasmissivi risulti impossibile l’invio dell’OIL, l’Istituto comunicherà per iscritto al Gestore i pagamenti e le riscossion</w:t>
      </w:r>
      <w:r>
        <w:t>i aventi carattere d’urgenza; il Gestore a seguito di tale comunicazione caricherà i relativi provvisori di entrata e di uscita.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4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(RISCOSSIONI)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Fermo restando quanto previsto dalla normativa vigente in tema di Tesoreria Unica, le entrate sono</w:t>
      </w:r>
      <w:r>
        <w:t xml:space="preserve"> riscosse dal Gestore in base a ordinativi di incasso (reversali) emessi dall'Istituto tramite OIL firmati dal Dirigente scolastico e dal Direttore dei Servizi Generali ed Amministrativi. Le reversali devono indicare anche l’imputazione al sotto conto frut</w:t>
      </w:r>
      <w:r>
        <w:t>tifero ovvero infruttifero.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Le reversali devono essere inviate tramite applicativo informatico rispettando i tracciati previsti nell’Allegato tecnico. Le reversali saranno, di norma, caricate in procedura entro il primo giorno lavorativo successivo a qu</w:t>
      </w:r>
      <w:r>
        <w:t>ello dell’invio del messaggio di presa in carico da parte del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Il Gestore, anche in assenza della preventiva emissione della reversale, è tenuto all'incasso delle somme che i terzi intendono versare, a qualsiasi titolo e causa, a favore dell’Ist</w:t>
      </w:r>
      <w:r>
        <w:t>ituto contro il rilascio di ricevuta contenente, oltre alla causale del versamento, la clausola espressa "salvi i diritti dell’Istituto". Tali incassi sono segnalati all’Istituto stesso, il quale emette le relative reversali entro cinque giorni dalla segna</w:t>
      </w:r>
      <w:r>
        <w:t>lazione e comunque entro il mese in corso. A seguito dell’avvenuto incasso, il Gestore predispone ed invia all’Istituto un messaggio di esito applicativo munito di riferimento temporale contenente, a comprova e discarico, la conferma dell’esecuzione dell’O</w:t>
      </w:r>
      <w:r>
        <w:t>IL.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Il prelevamento dal conto corrente postale intestato all’Istituto è disposto dall’Istituto medesimo nel rispetto della periodicità stabilita dalle disposizioni attuative delle norme sulla Tesoreria unica, nonché dalle previsioni di cui al D.I. 129/2</w:t>
      </w:r>
      <w:r>
        <w:t xml:space="preserve">018 e mediante preventiva emissione di reversale intestata </w:t>
      </w:r>
      <w:r>
        <w:lastRenderedPageBreak/>
        <w:t>all’Istituto stesso. L’accredito al conto di gestione delle relative somme è effettuato nello stesso giorno in cui il Gestore acquisisce la disponibilità della somma prelevata dal conto corrente po</w:t>
      </w:r>
      <w:r>
        <w:t>stale.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5. Il Gestore non è tenuto ad accettare versamenti a mezzo di assegni di conto corrente bancario e postale. Possono essere accettati assegni circolari o vidimati intestati all’Istituto che potranno essere accreditati sui conti di cassa solo dopo il </w:t>
      </w:r>
      <w:r>
        <w:t>relativo incasso da parte del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6. L’Istituto si impegna ad annullare tramite OIL le reversali non estinte alla data del 31 dicembre.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7. Al fine di ottimizzare e razionalizzare la fase di riscossione delle entrate patrimoniali, il Gestore, su richie</w:t>
      </w:r>
      <w:r>
        <w:t>sta dell’Istituto, può attivare, alle condizioni di mercato di cui al successivo art.14, e alle ulteriori condizioni economiche concordate tra le parti, ulteriori strumenti di incasso quali, in via esemplificativa, il servizio MAV (pagamento Mediante Avvis</w:t>
      </w:r>
      <w:r>
        <w:t>o) bancario e postale, RID bancario e postale, Incasso domiciliato, Bollettino e Acquiring (POS fisico o virtuale) che velocizzino le fasi di acquisizione delle somme riscosse e assicurino la sollecita trasmissione dei dati riferiti all’incasso.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8. Gli inc</w:t>
      </w:r>
      <w:r>
        <w:t>assi effettuati mediante gli strumenti di cui al precedente comma danno luogo al rilascio di quietanza o evidenza bancaria ad effetto liberatorio per il debitore; le somme provenienti dai predetti incassi sono versate alla cassa dell’Istituto non appena di</w:t>
      </w:r>
      <w:r>
        <w:t>venute liquide ed esigibili in relazione ai servizi elettronici adottati.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5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(PAGAMENTI)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Fermo restando quanto previsto dalla normativa vigente in tema di Tesoreria Unica, i pagamenti sono effettuati dal Gestore in base a ordinativi di pagamento</w:t>
      </w:r>
      <w:r>
        <w:t xml:space="preserve"> (mandati) emessi dall'Istituto tramite OIL firmati dal Dirigente scolastico e dal Direttore dei Servizi Generali ed Amministrativi e relativi ad un unico beneficiario.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I mandati di pagamento devono essere inviati tramite applicativo informatico rispett</w:t>
      </w:r>
      <w:r>
        <w:t>ando i tracciati previsti nell’Allegato tecnico.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Il Gestore su conforme richiesta del predetto Dirigente scolastico, effettua i pagamenti di spese fisse o ricorrenti, come rate di imposte e tasse e canoni relativi alla domiciliazione delle fatture attin</w:t>
      </w:r>
      <w:r>
        <w:t>enti le utenze, anche senza i relativi mandati; questi ultimi devono essere emessi dall’Istituto entro cinque giorni dalla data di pagamento e comunque entro il mese in corso.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I mandati sono ammessi al pagamento, di norma, il primo giorno lavorativo o l</w:t>
      </w:r>
      <w:r>
        <w:t xml:space="preserve">avorativo bancabile successivo a quello dell’invio del messaggio di presa in carico da parte del Gestore. In caso di pagamenti da eseguirsi in termine fisso indicato dall'Istituto sull'ordinativo, l'Istituto medesimo deve trasmettere i mandati entro e non </w:t>
      </w:r>
      <w:r>
        <w:t>oltre il quarto giorno lavorativo o lavorativo bancabile precedente alla scadenza. Qualora i mandati rinviino ad allegati cartacei, l’esecuzione dei mandati stessi ha luogo solo dopo la ricezione dei relativi allegati. In caso di difformità tra gli element</w:t>
      </w:r>
      <w:r>
        <w:t>i evidenziati sul mandato e quelli indicati nei connessi allegati cartacei (ad esempio importo indicato sul bollettino postale non coincidente con quello indicato nell’OIL) il Gestore ne dà comunicazione all’Istituto e sospende l’esecuzione fino alla ricez</w:t>
      </w:r>
      <w:r>
        <w:t>ione di nuovi allegati corretti debitamente.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Il Gestore è esonerato da qualsiasi responsabilità per ritardo o danno conseguenti a difetto di individuazione od ubicazione del creditore, qualora ciò sia dipeso da errore o incompletezza dei dati evidenziat</w:t>
      </w:r>
      <w:r>
        <w:t>i dall’Istituto sul mandato.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6. A seguito dell’avvenuto pagamento il Gestore, direttamente o tramite il proprio polo informatico, predispone ed invia all’Istituto un messaggio di esito applicativo munito di riferimento temporale contenente la conferma, a c</w:t>
      </w:r>
      <w:r>
        <w:t>omprova e discarico, dell’esecuzione dell’OIL; in caso di pagamento per cassa, la quietanza del creditore è raccolta su foglio separato ed è trattenuta tra gli atti del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7. Per i mandati di pagamento estinti, nel rispetto della normativa vigente in</w:t>
      </w:r>
      <w:r>
        <w:t xml:space="preserve"> materia di tracciabilità dei flussi finanziari, a mezzo assegno circolare o assegno postale vidimato, l’Istituto è liberato dall’obbligazione nel momento dell’addebito dell’importo sul conto di cassa.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8. L’Istituto emette mandati nel rispetto delle prescr</w:t>
      </w:r>
      <w:r>
        <w:t>izioni di cui all’articolo 12, comma 2, del D.L. 201/2011 convertito con modificazioni dalla Legge 214/2011.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9. L’Istituto si impegna a non emettere mandati a favore del Direttore dei Servizi Generali ed Amministrativi dell’Istituto ad eccezione di quelli </w:t>
      </w:r>
      <w:r>
        <w:t>emessi per il reintegro del fondo minute spese e di quelli relativi agli emolumenti a lui spettanti.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10. L’estinzione dei mandati ha luogo nel rispetto della legge e secondo le indicazioni fornite dall’Istituto con assunzione di responsabilità da parte del</w:t>
      </w:r>
      <w:r>
        <w:t xml:space="preserve"> Gestore che ne risponde con tutte le proprie attività e con il proprio patrimonio nei confronti sia dell’Istituto sia dei terzi creditori in ordine alla regolarità delle operazioni di pagamento eseguite.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11. Per le operazioni di pagamento effettuate a fav</w:t>
      </w:r>
      <w:r>
        <w:t>ore dei dipendenti (stipendi, rimborsi spese, ecc.) mediante bonifico e/o mediante altri strumenti di pagamento, l’Istituto non corrisponderà al Gestore alcun compenso, trattandosi di un servizio prestato dal Gestore stesso a titolo gratuito.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12. L’Istitut</w:t>
      </w:r>
      <w:r>
        <w:t>o si impegna ad annullare tramite OIL i mandati non estinti alla data del 31 dicembre.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6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(PAGAMENTI CON CARTE)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Su richiesta dell’Istituto, il Gestore può procedere al rilascio di carte aziendali di credito, di debito e prepagate regolate da app</w:t>
      </w:r>
      <w:r>
        <w:t>osito contratto e con le modalità di cui ai commi successivi, che saranno utilizzate ai fini di quanto espresso dal 129/2018, e comunque in base ai criteri e modalità stabiliti dal Ministero dell’Istruzione, Università e Ricerca.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L’Istituto trasmette al</w:t>
      </w:r>
      <w:r>
        <w:t xml:space="preserve"> Gestore il provvedimento con il quale vengono individuati i soggetti autorizzati ad effettuare i pagamenti con carte nonché i limiti di utilizzo.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3. L’Istituto deve fornire con immediatezza al Gestore l’estratto conto ricevuto dalla società che emette le </w:t>
      </w:r>
      <w:r>
        <w:t>carte unitamente ai relativi mandati di pagamento a copertura sia dell’importo dei pagamenti sia delle spese evidenziate in detto estratto.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4. Il Gestore provvede a registrare l’operazione sul conto dell’Istituto secondo i criteri fissati dal contratto di </w:t>
      </w:r>
      <w:r>
        <w:t>cui al primo comma.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Nel corso di validità contrattuale, il servizio di attivazione e di gestione delle carte prepagate - nelle quantità definite dal Dirigente Scolastico - deve intendersi prestato a titolo gratuito fatta eccezione degli oneri di ricaric</w:t>
      </w:r>
      <w:r>
        <w:t>a.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7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(ANTICIPAZIONE DI CASSA)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1. Fermo restando che l’anticipazione di cassa può essere richiesta limitatamente alle somme strettamente necessarie per sopperire a momentanee esigenze di cassa, il Gestore, su richiesta del Dirigente scolastico, conc</w:t>
      </w:r>
      <w:r>
        <w:t>ede all’Istituto anticipazioni di cassa entro il limite massimo dei tre dodicesimi dei trasferimenti erogati a titolo di dotazione ordinaria dal Ministero dell’Istruzione, dell’Università e della Ricerca nell’anno precedente.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Gli interessi a carico dell</w:t>
      </w:r>
      <w:r>
        <w:t>’Istituto sulle somme anticipate ai sensi del precedente comma decorrono dalla data dell’effettivo utilizzo della somma.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3. Il Gestore procede di iniziativa per l’immediato rientro delle anticipazioni utilizzate non appena si verifichino entrate, ai sensi </w:t>
      </w:r>
      <w:r>
        <w:t>della normativa e dei regolamenti vigenti.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L’anticipazione è strettamente collegata al ruolo del Gestore. Conseguentemente, il passaggio del servizio ad altro Gestore implica che il soggetto subentrante assuma all’atto del trasferimento, ogni esposizion</w:t>
      </w:r>
      <w:r>
        <w:t>e in essere sia per capitale sia per interessi ed accessori.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8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(APERTURE DI CREDITO PER PROGETTI FORMATIVI)</w:t>
      </w:r>
    </w:p>
    <w:p w:rsidR="008A5832" w:rsidRDefault="008A5832">
      <w:pPr>
        <w:pStyle w:val="Standard"/>
        <w:jc w:val="center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Il Gestore, su richiesta del Dirigente scolastico e nelle more dell’erogazione di finanziamenti statali o comunitari, può concedere aper</w:t>
      </w:r>
      <w:r>
        <w:t>ture di credito finalizzate alla realizzazione di progetti formativi.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La richiesta di cui al comma 1 deve essere corredata dalla documentazione attestante la conclusione dell’iter autorizzativo dei progetti e la data della conseguente erogazione dei fin</w:t>
      </w:r>
      <w:r>
        <w:t>anziamenti statali o comunitari.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All’atto della richiesta delle aperture di credito per progetti formativi, l’Istituto deve tener conto che l’importo di dette operazioni non può eccedere complessivamente i nove dodicesimi dei trasferimenti erogati a tit</w:t>
      </w:r>
      <w:r>
        <w:t xml:space="preserve">olo di dotazione ordinaria, dal Ministero dell’Istruzione, dell’Università e della Ricerca nell’anno precedente. Nel calcolo di tale limite l’Istituto deve ricomprendere anche gli importi di eventuali aperture di credito concesse dal gestore uscente e non </w:t>
      </w:r>
      <w:r>
        <w:t>ancora rientrate. La durata massima di dette operazioni è di diciotto mesi.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Il Gestore procede di iniziativa all’immediato rientro delle aperture di credito utilizzate non appena si verifichino le entrate di cui ai predetti finanziamenti statali o comun</w:t>
      </w:r>
      <w:r>
        <w:t>itari.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L’Istituto, alla scadenza della presente convenzione e in vigenza di un nuovo rapporto con altro cassiere, si impegna fin d’ora, non appena si verifichino le entrate relative ai connessi finanziamenti statali o comunitari, a disporre il pagamento</w:t>
      </w:r>
      <w:r>
        <w:t xml:space="preserve"> a favore del Gestore per la completa chiusura dell’esposizione per aperture di credito concesse ai sensi del presente articolo.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6. L’importo dell’apertura di credito deve comunque corrispondere all’importo realmente approvato e comunque tener conto di eve</w:t>
      </w:r>
      <w:r>
        <w:t>ntuali parziali ammissioni agli importi dei bandi a cui la scuola partecipa.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Art.9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(FIRME E TRATTAMENTO DATI PERSONALI)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1. L’Istituto provvede a depositare presso il Gestore le firme autografe con le generalità delle persone autorizzate a firmare </w:t>
      </w:r>
      <w:r>
        <w:t>digitalmente gli ordini di riscossione e di pagamento impegnandosi a comunicare tempestivamente le eventuali variazioni.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L’Istituto provvede a comunicare al Gestore il codice del certificato di firma digitale, il suo emittente, il numero di serie e la r</w:t>
      </w:r>
      <w:r>
        <w:t>elativa data di scadenza.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Resta inteso che, nel rispetto del Regolamento UE 679/2016 e del Codice in materia di protezione dei dati personali di cui al decreto legislativo 30 giugno 2003, n. 196 ss. mm. e ii., le eventuali incombenze relative al trattam</w:t>
      </w:r>
      <w:r>
        <w:t>ento dei dati personali da parte di soggetti terzi, con i quali il Gestore viene in contatto nello svolgimento del servizio di cui alla presente convenzione, sono espletate dall’Istituto.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10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(TRASMISSIONE DI ATTI E DOCUMENTI)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Gli ordini di paga</w:t>
      </w:r>
      <w:r>
        <w:t>mento e quelli di riscossione sono trasmessi dall’Istituto al Gestore tramite OIL e secondo le prescrizioni dell’Allegato tecnico.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2. Il Gestore rende disponibile all’Istituto il giornale di cassa secondo le prescrizioni contenute nello specifico Allegato </w:t>
      </w:r>
      <w:r>
        <w:t>tecnico di cui alle Linee Guida di AgID richiamate al precedente art. 3, comma 1.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Su richiesta dell’Istituto il Gestore, al fine di consentire la periodica verifica di cassa, mette a disposizione dell’Istituto l’elenco delle operazioni di entrata e di u</w:t>
      </w:r>
      <w:r>
        <w:t>scita eseguite in conto sospesi e non ancora regolarizzate ed il riepilogo degli ordinativi di riscossione e di pagamento ancora da eseguire.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A chiusura di ciascun anno, il Gestore trasmette all’Istituto il foglio dell’estratto conto regolato per capita</w:t>
      </w:r>
      <w:r>
        <w:t>le e interessi.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L’Istituto è tenuto a verificare i giornali di cassa ed il foglio dell’estratto conto, trasmessi dal Gestore, segnalando, per iscritto tempestivamente e comunque non oltre 60 giorni dalla data di ricevimento degli stessi, le eventuali op</w:t>
      </w:r>
      <w:r>
        <w:t>posizioni. Decorso tale termine i documenti in questione si considerano approvati.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11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(AMMINISTRAZIONE TITOLI E VALORI)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1. Il Gestore assume in custodia ed amministrazione, previa delibera dell’organo competente dell’Istituto, i titoli ed i valori</w:t>
      </w:r>
      <w:r>
        <w:t xml:space="preserve"> di proprietà dell’Istituto stesso, che vengono immessi in deposito amministrato secondo le condizioni e modalità concordate tra le Parti.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Il Gestore custodisce altresì i titoli ed i valori depositati da terzi per cauzione a favore dell’Istituto. Il Ges</w:t>
      </w:r>
      <w:r>
        <w:t>tore si obbliga a non procedere alla restituzione dei titoli stessi senza regolare autorizzazione del Dirigente scolastico dell’Istituto.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12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(VERIFICHE)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L’Istituto ha diritto di procedere a verifiche di cassa e dei valori dati in carico ogni qu</w:t>
      </w:r>
      <w:r>
        <w:t xml:space="preserve">alvolta lo ritenga necessario ed opportuno. Il Gestore deve esibire, ad ogni richiesta, la documentazione informatica e le evidenze contabili relative alla gestione. Considerato, altresì, che la Banca d’Italia invia giornalmente ai tesorieri o cassieri un </w:t>
      </w:r>
      <w:r>
        <w:t>flusso informativo telematico contenente le operazioni eseguite a valere sulle contabilità speciali di Tesoreria unica, le operazioni eventualmente respinte, il saldo provvisorio del giorno, nonché il saldo definitivo della giornata precedente, è obbligato</w:t>
      </w:r>
      <w:r>
        <w:t>ria la trasmissione delle suddette informazioni agli Istituti.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13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(TASSI CREDITORI E DEBITORI)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Sulle anticipazioni di cassa di cui all’art. 7 è applicato un interesse annuo nella seguente misura: EURIBOR 365 a 1 mese, media mese precedente aume</w:t>
      </w:r>
      <w:r>
        <w:t>ntato/diminuito di ..... punti percentuali, la cui liquidazione ha luogo con cadenza trimestrale.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Per le aperture di credito finalizzate alla realizzazione di progetti formativi di cui all’art. 8 è applicato un interesse annuo nella seguente misura: EUR</w:t>
      </w:r>
      <w:r>
        <w:t>IBOR 365 a 1 mese, media mese precedente aumentato/diminuito di ..... punti percentuali, la cui liquidazione ha luogo con cadenza trimestrale.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14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(COMPENSO E SPESE DI GESTIONE)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Per il servizio di gestione tenuta conto l’Istituto corrisponderà a</w:t>
      </w:r>
      <w:r>
        <w:t>l Gestore un compenso pari a € ................. annuo.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Per l’attivazione e la gestione del servizio di remote banking l’Istituto non corrisponderà al Gestione alcun compenso, trattandosi di un servizio erogato dal Gestore a titolo gratuito.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3. Per le o</w:t>
      </w:r>
      <w:r>
        <w:t>perazioni di pagamento effettuate mediante bonifico, esclusi i bonifici stipendi e i rimborsi spese ai dipendenti, l’Istituto corrisponderà al Gestore un compenso pari a € ................. per transazione.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Per le operazioni di pagamento effettuate attr</w:t>
      </w:r>
      <w:r>
        <w:t>averso ......, esclusi i bonifici stipendi e i rimborsi spese ai dipendenti, l’Istituto corrisponderà al Gestore un compenso pari a € ................. per transazione. [da utilizzare per eventuali altri strumenti di pagamento]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Per l’attivazione e la ge</w:t>
      </w:r>
      <w:r>
        <w:t>stione delle carte di credito l’Istituto corrisponderà al Gestore un compenso pari a € ................. annui per ciascuna carta richiesta.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6. Per l’attivazione e la gestione delle carte di debito l’Istituto corrisponderà al Gestore un compenso pari a € .</w:t>
      </w:r>
      <w:r>
        <w:t>................ annui per ciascuna carta richiesta.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7. Per le operazioni di ricarica delle carte prepagate emesse dal Gestore, l’Istituto corrisponderà al Gestore un compenso pari a € ................. per singola operazione.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8. Per le operazioni di </w:t>
      </w:r>
      <w:r>
        <w:t>ricarica di carte prepagate, effettuate tramite circuito interbancario, l’Istituto corrisponderà al Gestore un compenso pari a € ................. per singola operazione.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9. Per la custodia/amministrazione di titoli e valori l’Istituto corrisponderà al Ges</w:t>
      </w:r>
      <w:r>
        <w:t>tore un compenso pari a € ................. annui.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10. Per il servizio di riscossione tramite bonifico l’Istituto corrisponderà al Gestore un compenso pari a € ................. per singola transazione.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11. Per il servizio di riscossione tramite procedura </w:t>
      </w:r>
      <w:r>
        <w:t>MAV (bancario e postale), l’Istituto corrisponderà al Gestore un compenso pari a €................. per singolo avviso emesso, fatto salvo il recupero delle eventuali spese postali.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12. Per il servizio di riscossione tramite procedura RID (bancario e posta</w:t>
      </w:r>
      <w:r>
        <w:t>le), l’Istituto corrisponderà al Gestore un compenso pari a € ................. per singola transazione.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13. Per il servizio di riscossione tramite procedura RIBA l’Istituto corrisponderà al Gestore un compenso pari a € ................. per singola transa</w:t>
      </w:r>
      <w:r>
        <w:t>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14. Per il servizio di riscossione tramite procedura incasso domiciliato l’Istituto corrisponderà al Gestore un compenso pari a € ................. per singola transazione.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15. Per il servizio di riscossione tramite bollettino (bancario o postale), </w:t>
      </w:r>
      <w:r>
        <w:t>l’Istituto corrisponderà al Gestore un compenso pari a € .................per singola transazione.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16. Per il servizio di riscossione tramite Acquiring (POS fisico o virtuale), l’Istituto corrisponderà al Gestore un compenso diversificato in dipendenza dei</w:t>
      </w:r>
      <w:r>
        <w:t xml:space="preserve"> circuiti che applicano interchange fee diverse.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17. Il Gestore è rimborsato delle spese postali relative alle comunicazioni inerenti al servizio trasmesse all’Istituto e per conto dello stesso, delle spese sostenute per l’esecuzione dei pagamenti che rich</w:t>
      </w:r>
      <w:r>
        <w:t>iedono la corresponsione di un onere, delle tasse postali relative al prelievo dal conto corrente postale e degli oneri fiscali.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15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(IMPOSTA DI BOLLO)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In ordine all’assolvimento dell’imposta di bollo qualora dovuta per le quietanze relative ai m</w:t>
      </w:r>
      <w:r>
        <w:t>andati di pagamento ed alle reversali di incasso, l’Istituto e il Gestore si danno reciprocamente atto che, poiché le procedure informatiche inerenti all’OIL non consentono di accertare la correttezza degli specifici codici e/o descrizioni apposti dall’Ist</w:t>
      </w:r>
      <w:r>
        <w:t xml:space="preserve">ituto, il Gestore non è in grado di operare verifiche circa la valenza di detta imposta. Pertanto, nei casi di errata/mancante indicazione, nei flussi, dei codici o delle descrizioni appropriati, l’Istituto si impegna a rifondere al Gestore ogni pagamento </w:t>
      </w:r>
      <w:r>
        <w:t>inerente le eventuali sanzioni.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16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(DURATA DELLA CONVENZIONE)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La presente convenzione ha una durata di quattro anni a partire dal ................. e fino al ................. 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È stabilita la possibilità di ricorrere ad un regime di proroga</w:t>
      </w:r>
      <w:r>
        <w:t xml:space="preserve"> della convenzione per il tempo strettamente necessario alla definizione della procedura di aggiudicazione del servizio e comunque per un periodo massimo di sei mesi.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17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(STIPULA DELLA CONVENZIONE)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Le spese di stipulazione della presente convenz</w:t>
      </w:r>
      <w:r>
        <w:t>ione ed ogni altra conseguente sono a carico del Gestore.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La registrazione della convenzione è prevista solo in caso d’uso e le relative spese sono a carico del richiedente.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18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(RINVIO, CONTROVERSIE E DOMICILIO DELLE PARTI)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1. Per gli effetti </w:t>
      </w:r>
      <w:r>
        <w:t>della presente convenzione e per tutte le conseguenze dalla medesima derivanti, l’Istituto e il Gestore eleggono il proprio domicilio presso le rispettive sedi come di seguito indicato:</w:t>
      </w:r>
    </w:p>
    <w:p w:rsidR="008A5832" w:rsidRDefault="00C51CA1">
      <w:pPr>
        <w:pStyle w:val="Standard"/>
        <w:jc w:val="both"/>
        <w:rPr>
          <w:rFonts w:hint="eastAsia"/>
        </w:rPr>
      </w:pPr>
      <w:r>
        <w:t>2. Istituto – ................................................... 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3</w:t>
      </w:r>
      <w:r>
        <w:t>. Gestore – .................................................. 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4. Per quanto non previsto dalla presente convenzione, si fa rinvio alla legge ed ai regolamenti che disciplinano la materia.</w:t>
      </w:r>
    </w:p>
    <w:p w:rsidR="008A5832" w:rsidRDefault="00C51CA1">
      <w:pPr>
        <w:pStyle w:val="Standard"/>
        <w:jc w:val="both"/>
        <w:rPr>
          <w:rFonts w:hint="eastAsia"/>
        </w:rPr>
      </w:pPr>
      <w:r>
        <w:t>5. Per ogni controversia che dovesse sorgere nell’applicazione d</w:t>
      </w:r>
      <w:r>
        <w:t>el presente contratto il foro competente deve intendersi quello di .................. (luogo ove ha sede l’Istituto).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center"/>
        <w:rPr>
          <w:rFonts w:hint="eastAsia"/>
        </w:rPr>
      </w:pPr>
      <w:r>
        <w:t>Art. 19</w:t>
      </w:r>
    </w:p>
    <w:p w:rsidR="008A5832" w:rsidRDefault="00C51CA1">
      <w:pPr>
        <w:pStyle w:val="Standard"/>
        <w:jc w:val="center"/>
        <w:rPr>
          <w:rFonts w:hint="eastAsia"/>
        </w:rPr>
      </w:pPr>
      <w:r>
        <w:t>(TRACCIABILITA’ DEI FLUSSI FINANZIARI)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1. L’Istituto e il Gestore si conformano alla disciplina di cui all’art. 3 della legge 1</w:t>
      </w:r>
      <w:r>
        <w:t>36/2010, tenuto conto della Determinazione n. 4 del 7 luglio 2011 dell’Autorità della Vigilanza sui Contratti Pubblici (ora A.N.AC.), avente ad oggetto le Linee Guida sulla tracciabilità dei flussi finanziari e ss.mm. e ii.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>Data .................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 xml:space="preserve">Per </w:t>
      </w:r>
      <w:r>
        <w:t>l’Istituto</w:t>
      </w:r>
    </w:p>
    <w:p w:rsidR="008A5832" w:rsidRDefault="00C51CA1">
      <w:pPr>
        <w:pStyle w:val="Standard"/>
        <w:jc w:val="both"/>
        <w:rPr>
          <w:rFonts w:hint="eastAsia"/>
        </w:rPr>
      </w:pPr>
      <w:r>
        <w:t>(il Dirigente scolastico)</w:t>
      </w:r>
    </w:p>
    <w:p w:rsidR="008A5832" w:rsidRDefault="008A5832">
      <w:pPr>
        <w:pStyle w:val="Standard"/>
        <w:jc w:val="both"/>
        <w:rPr>
          <w:rFonts w:hint="eastAsia"/>
        </w:rPr>
      </w:pPr>
    </w:p>
    <w:p w:rsidR="008A5832" w:rsidRDefault="00C51CA1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 il Gestore  </w:t>
      </w:r>
    </w:p>
    <w:p w:rsidR="008A5832" w:rsidRDefault="00C51CA1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(il Rappresentante con poteri)</w:t>
      </w:r>
    </w:p>
    <w:p w:rsidR="008A5832" w:rsidRDefault="008A5832">
      <w:pPr>
        <w:pStyle w:val="Standard"/>
        <w:jc w:val="both"/>
        <w:rPr>
          <w:rFonts w:hint="eastAsia"/>
        </w:rPr>
      </w:pPr>
    </w:p>
    <w:sectPr w:rsidR="008A58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1CA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51C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1C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51C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5832"/>
    <w:rsid w:val="008A5832"/>
    <w:rsid w:val="00C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4559</Words>
  <Characters>25990</Characters>
  <Application>Microsoft Office Word</Application>
  <DocSecurity>4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Tomasoni</dc:creator>
  <cp:lastModifiedBy>Romana Tomasoni</cp:lastModifiedBy>
  <cp:revision>2</cp:revision>
  <dcterms:created xsi:type="dcterms:W3CDTF">2020-11-19T11:51:00Z</dcterms:created>
  <dcterms:modified xsi:type="dcterms:W3CDTF">2020-11-19T11:51:00Z</dcterms:modified>
</cp:coreProperties>
</file>