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ACCORDO DI RETE TRA ISTITUZIONI SCOLASTICHE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C@NNIZZ@ROBOT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Visto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l'art. 15 della Legge n. 241/1990 che dispone: “le pubbliche amministrazioni possono sempre concludere tra loro accordi per disciplinare lo svolgimento in collaborazione di attività di interesse comune”;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Visto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l'art. 21 della Legge n.59/1997 relativo all'attribuzione di autonomia funzionale e personalità giuridica alle istituzioni Scolastiche;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Visto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che l’art. 7, comma 2, del D.P.R. 275/ 99 consente espressamente l’adozione di accordi di rete tra diverse Istituzioni Scolastiche per la realizzazione di attività di comune interesse, ai sensi dell’art. 15 della legge 241/90;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Atteso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che l’art. 47 del Decreto n. 129/2018 prevede che il Consiglio di Istituto deliberi in ordine all’adesione a reti di scuole;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Considerato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che le Istituzioni scolastiche intendono collaborare per la realizzazione di una attività basata sul metodo Challenge Based Learning per l’attuazione di iniziative </w:t>
      </w:r>
      <w:r w:rsidDel="00000000" w:rsidR="00000000" w:rsidRPr="00000000">
        <w:rPr>
          <w:sz w:val="24"/>
          <w:szCs w:val="24"/>
          <w:rtl w:val="0"/>
        </w:rPr>
        <w:t xml:space="preserve">per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gli studenti di scuola secondaria di </w:t>
      </w:r>
      <w:r w:rsidDel="00000000" w:rsidR="00000000" w:rsidRPr="00000000">
        <w:rPr>
          <w:sz w:val="24"/>
          <w:szCs w:val="24"/>
          <w:rtl w:val="0"/>
        </w:rPr>
        <w:t xml:space="preserve">secondo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grado riguardo le STEM;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Le Istituzioni Scolastiche hanno interesse a collaborare per: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realizzazione di una competizione robotica tra gli studenti delle scuole secondarie di secondo grado si propone di: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tabs>
          <w:tab w:val="left" w:leader="none" w:pos="399"/>
        </w:tabs>
        <w:spacing w:before="40" w:line="360" w:lineRule="auto"/>
        <w:ind w:left="720" w:right="109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Consolidare la didattica laboratoriale per lo sviluppo di nuove conoscenze e competenze innovative attraverso le discipline scientifiche;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tabs>
          <w:tab w:val="left" w:leader="none" w:pos="399"/>
        </w:tabs>
        <w:spacing w:before="40" w:line="360" w:lineRule="auto"/>
        <w:ind w:left="720" w:right="109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Mettere in atto la strategia didattica del Challenge Based Learning;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tabs>
          <w:tab w:val="left" w:leader="none" w:pos="399"/>
        </w:tabs>
        <w:spacing w:before="2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Stimolare lo sviluppo di competenze trasversali attraverso percorsi interdisciplinari e pluridisciplinari;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tabs>
          <w:tab w:val="left" w:leader="none" w:pos="399"/>
        </w:tabs>
        <w:spacing w:before="40" w:line="360" w:lineRule="auto"/>
        <w:ind w:left="720" w:right="112" w:hanging="36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Favorire l’incremento delle competenze digitali, il pensiero creativo, il problem-solving nella progettazione di artefatti virtuali e materiali;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tabs>
          <w:tab w:val="left" w:leader="none" w:pos="399"/>
        </w:tabs>
        <w:spacing w:before="2" w:line="360" w:lineRule="auto"/>
        <w:ind w:left="720" w:right="111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Sperimentare percorsi interdisciplinari con particolare riferimento all’apprendimento in STEM (Science – Technology – Engineering – Mathematics);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tabs>
          <w:tab w:val="left" w:leader="none" w:pos="399"/>
        </w:tabs>
        <w:spacing w:before="2" w:line="360" w:lineRule="auto"/>
        <w:ind w:left="720" w:right="111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divulgare lo studio delle STEM, promuovere e attuare modelli didattici innovativi, disseminare l’attività realizzata;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migliorare la funzione della scuola come centro di educazione e istruzione, nonché come centro di promozione culturale, sociale;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favorire una comunicazione più ampia e proficua fra le Istituzioni Scolastiche;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stimolare e a realizzare, anche attraverso studi e ricerche, l’accrescimento della qualità dell’insegnamento delle STEM.</w:t>
      </w:r>
    </w:p>
    <w:p w:rsidR="00000000" w:rsidDel="00000000" w:rsidP="00000000" w:rsidRDefault="00000000" w:rsidRPr="00000000" w14:paraId="00000016">
      <w:pPr>
        <w:spacing w:line="360" w:lineRule="auto"/>
        <w:ind w:left="36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Con il presente atto si conviene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Art. 1 – Norma di rinvio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premesse e gli allegati costituiscono parte integrante e sostanziale del presente accordo.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Art. 2 – Definizioni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 Istituzioni Scolastiche aderenti si intendono le Istituzioni scolastiche che sottoscrivono il presente accordo e trasmettono la delibera del Consiglio di Istituto.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rete è aperta fino alla conclusione del progetto.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Art. 3 – Denominazione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rete è denominata </w:t>
      </w:r>
      <w:r w:rsidDel="00000000" w:rsidR="00000000" w:rsidRPr="00000000">
        <w:rPr>
          <w:sz w:val="24"/>
          <w:szCs w:val="24"/>
          <w:rtl w:val="0"/>
        </w:rPr>
        <w:t xml:space="preserve">C@nnizz@Robot. Avrà la struttura del Project Cycle Managment fondandosi sull’attività didattica del Challenge Based Learning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per la diffusione dello studio delle STEM.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collegamento in rete tra le Istituzioni scolastiche firmatarie del presente accordo assume la denominazione di “</w:t>
      </w:r>
      <w:r w:rsidDel="00000000" w:rsidR="00000000" w:rsidRPr="00000000">
        <w:rPr>
          <w:sz w:val="24"/>
          <w:szCs w:val="24"/>
          <w:rtl w:val="0"/>
        </w:rPr>
        <w:t xml:space="preserve">C@nnizz@Robot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per la diffusione e lo studio delle STEM”, con scuola capofila l’ITI Cannizzaro di Catania.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Art. 4 – Oggetto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presente accordo ha per oggetto la collaborazione fra le Istituzioni scolastiche che vi aderiscono per l’attuazione del progetto </w:t>
      </w:r>
      <w:r w:rsidDel="00000000" w:rsidR="00000000" w:rsidRPr="00000000">
        <w:rPr>
          <w:sz w:val="24"/>
          <w:szCs w:val="24"/>
          <w:rtl w:val="0"/>
        </w:rPr>
        <w:t xml:space="preserve">C@nnizz@Robot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mediante: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attività di divulgazione delle STEM;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attività di ricerca, sperimentazione e sviluppo;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applicare metodologie didattiche innovative;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realizzare una gara di robotica tra scuole secondarie di secondo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Art. 5 – Durata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presente accordo ha validità dalla data di sottoscrizione fino al completamento del progetto.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Art. 6 – Progettazione e Gestione delle attività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Istituzioni scolastiche aderenti al presente accordo individuano in concreto le attività oggetto della reciproca collaborazione fra quelle indicate nel precedente art. 4.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Art. 7 – Finanziamento e Gestione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Ogni istituzione scolastica aderente alla rete gestisce le risorse finanziarie che destina alla realizzazione del progetto.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scuola capofila non ha oneri di gestione finanziaria per le scuole aderenti alla rete.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Art. 8 – Modalità di adesione</w:t>
      </w:r>
    </w:p>
    <w:p w:rsidR="00000000" w:rsidDel="00000000" w:rsidP="00000000" w:rsidRDefault="00000000" w:rsidRPr="00000000" w14:paraId="00000036">
      <w:pPr>
        <w:spacing w:line="360" w:lineRule="auto"/>
        <w:ind w:right="2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richiesta di adesione al presente accordo viene sancita con la delibera del Consiglio di Istituto che viene inviata via mail alla scuola capofila e da quest’ultima acquisita. Le delibere dei Consigli di Istituto vengono allegate al presente accordo e ne sono parte integrante.</w:t>
      </w:r>
    </w:p>
    <w:p w:rsidR="00000000" w:rsidDel="00000000" w:rsidP="00000000" w:rsidRDefault="00000000" w:rsidRPr="00000000" w14:paraId="00000037">
      <w:pPr>
        <w:spacing w:line="360" w:lineRule="auto"/>
        <w:ind w:right="2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L’adesione è sancita dalla formale sottoscrizione dell’accordo da parte del dirigente scolastico dell’Istituzione scolastica richiedente.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Art. 9– Modalità di recesso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Istituzioni scolastiche aderenti hanno facoltà di recesso dal presente accordo.</w:t>
      </w:r>
    </w:p>
    <w:p w:rsidR="00000000" w:rsidDel="00000000" w:rsidP="00000000" w:rsidRDefault="00000000" w:rsidRPr="00000000" w14:paraId="0000003B">
      <w:pPr>
        <w:spacing w:line="360" w:lineRule="auto"/>
        <w:ind w:right="1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recesso è esercitato tramite dichiarazione del Dirigente scolastico e trasmessa con la delibera del Consiglio di Istituto.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Art. 10 – Norme finali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right="2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L’accordo viene inviato alle scuole aderenti. Lo stesso è pubblicato all’albo e depositato presso l’Ufficio di segreteria delle scuole aderenti. 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quanto non espressamente previsto nel presente atto, si rimanda all’ordinamento generale in materia di istruzione ed alle norme che regolano il rapporto di lavoro nel comparto Scuola. </w:t>
      </w:r>
    </w:p>
    <w:p w:rsidR="00000000" w:rsidDel="00000000" w:rsidP="00000000" w:rsidRDefault="00000000" w:rsidRPr="00000000" w14:paraId="00000041">
      <w:pPr>
        <w:spacing w:line="36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Letto, confermato e sottoscritto</w:t>
      </w:r>
    </w:p>
    <w:p w:rsidR="00000000" w:rsidDel="00000000" w:rsidP="00000000" w:rsidRDefault="00000000" w:rsidRPr="00000000" w14:paraId="00000042">
      <w:pPr>
        <w:spacing w:line="360" w:lineRule="auto"/>
        <w:ind w:left="120" w:firstLine="0"/>
        <w:jc w:val="both"/>
        <w:rPr>
          <w:sz w:val="24"/>
          <w:szCs w:val="24"/>
        </w:rPr>
        <w:sectPr>
          <w:pgSz w:h="16838" w:w="11906" w:orient="portrait"/>
          <w:pgMar w:bottom="717" w:top="1393" w:left="1020" w:right="1106" w:header="0" w:footer="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Seguono firme</w:t>
      </w:r>
    </w:p>
    <w:p w:rsidR="00000000" w:rsidDel="00000000" w:rsidP="00000000" w:rsidRDefault="00000000" w:rsidRPr="00000000" w14:paraId="00000043">
      <w:pPr>
        <w:spacing w:line="208" w:lineRule="auto"/>
        <w:rPr>
          <w:sz w:val="24"/>
          <w:szCs w:val="24"/>
        </w:rPr>
        <w:sectPr>
          <w:type w:val="continuous"/>
          <w:pgSz w:h="16838" w:w="11906" w:orient="portrait"/>
          <w:pgMar w:bottom="717" w:top="1393" w:left="1020" w:right="1106" w:header="0" w:footer="0"/>
          <w:cols w:equalWidth="0" w:num="3">
            <w:col w:space="720" w:w="2779.9999999999995"/>
            <w:col w:space="720" w:w="2779.9999999999995"/>
            <w:col w:space="0" w:w="2779.999999999999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19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4.0" w:type="dxa"/>
        <w:jc w:val="left"/>
        <w:tblLayout w:type="fixed"/>
        <w:tblLook w:val="0600"/>
      </w:tblPr>
      <w:tblGrid>
        <w:gridCol w:w="3258"/>
        <w:gridCol w:w="3258"/>
        <w:gridCol w:w="3258"/>
        <w:tblGridChange w:id="0">
          <w:tblGrid>
            <w:gridCol w:w="3258"/>
            <w:gridCol w:w="3258"/>
            <w:gridCol w:w="325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ind w:left="640" w:hanging="78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Istituzione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Dirigente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ind w:right="5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ITI CANNIZZARO - CATANIA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Giuseppina Montella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1"/>
                <w:numId w:val="3"/>
              </w:numPr>
              <w:spacing w:after="12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line="19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395" w:left="1020" w:right="1106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397" w:hanging="397"/>
      </w:pPr>
      <w:rPr>
        <w:rFonts w:ascii="Arial" w:cs="Arial" w:eastAsia="Arial" w:hAnsi="Arial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99" w:hanging="285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834" w:hanging="357"/>
      </w:pPr>
      <w:rPr>
        <w:rFonts w:ascii="Arial" w:cs="Arial" w:eastAsia="Arial" w:hAnsi="Arial"/>
      </w:rPr>
    </w:lvl>
    <w:lvl w:ilvl="2">
      <w:start w:val="1"/>
      <w:numFmt w:val="bullet"/>
      <w:lvlText w:val="●"/>
      <w:lvlJc w:val="left"/>
      <w:pPr>
        <w:ind w:left="18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846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84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5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853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78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HVgw736JPiHlfPt8GzP0hVyUA==">CgMxLjAyCWguMzBqMHpsbDgAciExLTJVTnB0SHh0dklWaVBoWlh1QTRLeHdPYXVTSlNaRlg=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