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  <w:b w:val="1"/>
          <w:bCs w:val="1"/>
          <w:color w:val="3a9313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3a9313"/>
          <w:sz w:val="24"/>
          <w:szCs w:val="24"/>
          <w:rtl w:val="0"/>
        </w:rPr>
        <w:t xml:space="preserve">Istituto Comprensivo di Trescore Balneario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7915275</wp:posOffset>
            </wp:positionH>
            <wp:positionV relativeFrom="paragraph">
              <wp:posOffset>57150</wp:posOffset>
            </wp:positionV>
            <wp:extent cx="1093842" cy="923925"/>
            <wp:effectExtent b="0" l="0" r="0" t="0"/>
            <wp:wrapSquare wrapText="bothSides" distB="57150" distT="57150" distL="57150" distR="571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842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33450" cy="954193"/>
            <wp:effectExtent b="0" l="0" r="0" t="0"/>
            <wp:wrapSquare wrapText="bothSides" distB="0" distT="0" distL="0" distR="0"/>
            <wp:docPr descr="stellone-b-nero" id="1" name="image2.png"/>
            <a:graphic>
              <a:graphicData uri="http://schemas.openxmlformats.org/drawingml/2006/picture">
                <pic:pic>
                  <pic:nvPicPr>
                    <pic:cNvPr descr="stellone-b-nero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41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Via Lorenzo Lotto, 15 - 24069 Trescore Balneario (BG)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Tel. 035/940086 - Fax.035/945451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Email: bgic883005@istruzione.it - PEC: bgic883005@pec.istruzione.it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Codice Fiscale: 95119300168 - Codice Meccanografico: BGIC883005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1815"/>
        <w:gridCol w:w="2899.999999999999"/>
        <w:gridCol w:w="6955.000000000001"/>
        <w:gridCol w:w="1005"/>
        <w:tblGridChange w:id="0">
          <w:tblGrid>
            <w:gridCol w:w="1485"/>
            <w:gridCol w:w="1815"/>
            <w:gridCol w:w="2899.999999999999"/>
            <w:gridCol w:w="6955.000000000001"/>
            <w:gridCol w:w="10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UNITA’ DI APPRENDIMENTO TRASVERSALE DI ORIENTAMENTO - CLASSI SECONDE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Denominazione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MI ORIENTO CONOSCENDO ME STESSO E GLI ALTRI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Destinatari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Classi Seconde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Discipline coinvolte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Tutte le discipline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Settembre 2025 - Giugno 2026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Anno scolastico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2025/2026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Risorse umane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Docenti del consiglio di classe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Eventuali esperti esterni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 ed associazioni del territorio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Metodologie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Lezioni frontali e partecipate  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Ricerche su fonti bibliografiche e nel web  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 semplificato per alunni con difficoltà di apprendimento  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 di gruppo per fasce di livello  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 di gruppo per fasce eterogenee  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 induttivo e deduttivo 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 scientifico  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Brainstorming  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Role playing  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Lezioni registrate e videoregistrate 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Cooperative learning 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Flipped Classroom 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Assegnazione e restituzione di elaborati tramite piattaforma digitale Classroom e Registro elettronico NUVOLA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altri (specificare).....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Mezzi e strumenti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Libri di testo cartaceo e digitale 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Testi di consultazione 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Sussidi audiovisivi (Filmati, Documentari, ecc), da siti Istituzionali e certificati) 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Mezzi multimediali (PC, LIM,Tablet, iPad, Cellulari, ecc)  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Schede predisposte dall’insegnante  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 di autovalutazione  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 e software necessari anche alla realizzazione di prodotti multimediali(ad es. Google Arts and Culture, Classroom)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altri (specificare).....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Introduzione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Nei percorsi di istruzione secondaria l’orientamento efficace, secondo le indicazioni condivise a livello europeo, esige “un più forte accento sullo sviluppo delle competenze di base e di quelle trasversali (responsabilità, spirito di iniziativa, motivazione e creatività,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fondamentali anche per promuovere l’imprenditorialità giovanile); l’apprendimento delle lingue straniere; (...) l’innalzamento dei livelli di apprendimento in ambito lavorativo e la costituzione di sistemi di istruzione e formazione professionale di eccellenza; la permeabilità delle qualifiche e il riconoscimento delle competenze acquisite al di fuori dei percorsi dell’istruzione e formazione professionale; un crescente utilizzo delle tecnologie digitali, per facilitare l’apprendimento attraverso risorse educative aperte e collaborative; la presenza di docenti formati e motivati; (...) una più stretta integrazione fra l’istruzione, la formazione professionale, l’istruzione superiore, l’università e le imprese”. [Linee guida per l’Orientamento, MIM]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1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Il modulo di orientamento relativo alle classi seconde,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"Mi oriento conoscendo me stesso e gli altri"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rappresenta l'esplorazione del territorio interiore e sociale. È il momento in cui la bussola dell'orientamento  inizia a sintonizzarsi sulla crescita personale, sia dentro sia fuori dalla scuola.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1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 questa fase della vita, i ragazzi vivono una profonda trasformazione. Il modulo invita ogni studente a fermarsi e porsi domande cruciali: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"Quali sono i miei nuovi interessi? Come sta cambiando il mio modo di imparare?"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Attraverso attività di riflessione sulle proprie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competenze trasversali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l'alunno inizia a delineare un profilo più nitido di sé, imparando a riconoscere non solo i propri limiti, ma soprattutto le proprie risorse inaspettate.  L’identità dei ragazzi si costruisce nel riflesso dei compagni e nel confronto con gli adulti. Il modulo pone l'accento sulla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dimensione relazionale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conoscendo l'altro, i suoi punti di vista e le sue diversità, lo studente impara a definire meglio i propri confini e i propri valori. Le attività di gruppo, il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peer-learning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i primi laboratori di cittadinanza attiva diventano palestre dove allenare l'empatia e la collaborazione, competenze fondamentali per qualsiasi scelta futura.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1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Orientarsi in seconda media significa capire che ogni scelta futura sarà il frutto di un equilibrio tra i propri sogni e il mondo che ci circonda. È l'anno in cui si impara che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orientarsi è, prima di tutto, imparare a conoscersi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CHIAVE DI CITTADINANZA EUROPEA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ALFABETICA FUNZIONALE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alfabetica funzionale indica la capacità di individuare, comprendere, esprimere, creare e interpretare concetti, sentimenti, fatti e opinioni, in forma sia orale sia scritta, utilizzando materiali visivi, sonori e digitali attingendo a varie discipline e contesti. Essa implica l’abilità di comunicare e relazionarsi efficacemente con gli altri in modo opportuno e creativo. Comprende la conoscenza della lettura e della scrittura e una buona comprensione delle informazioni scritte e quindi presuppone la conoscenza del vocabolario, della grammatica funzionale e delle funzioni del linguaggio.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MULTILINGUISTICA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Tale competenza definisce la capacità di utilizzare diverse lingue in modo appropriato ed efficace allo scopo di comunicare. Si basa sulla capacità di comprendere, esprimere e interpretare concetti, pensieri, sentimenti, fatti e opinioni in forma sia orale sia scritta (comprensione orale, espressione orale, comprensione scritta ed espressione scritta) in una gamma appropriata di contesti sociali e culturali a seconda dei desideri o delle esigenze individuali. Le abilità essenziali per questa competenza consistono nella capacità di comprendere messaggi orali, di iniziare, sostenere e concludere conversazioni e di leggere, comprendere e redigere testi, a livelli diversi di padronanza in diverse lingue, a seconda delle esigenze individuali.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IN SCIENZE,TECNOLOGIE E INGEGNERIA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matematica è la capacità di sviluppare e applicare il pensiero e la comprensione matematici per risolvere una serie di problemi in situazioni quotidiane. La competenza in scienze si riferisce alla capacità di spiegare il mondo che ci circonda usando l’insieme delle conoscenze e delle metodologie, comprese l’osservazione e la sperimentazione, per identificare le problematiche e trarre conclusioni che siano basate su fatti empirici, e alla disponibilità a farlo. Questa competenza comprende un atteggiamento di valutazione critica e curiosità, l’interesse per le questioni etiche e l’attenzione sia alla sicurezza sia alla sostenibilità ambientale, in particolare per quanto concerne il progresso scientifico e tecnologico in relazione all’individuo, alla famiglia, alla comunità e alle questioni di dimensione globale.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DIGITALE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digitale presuppone l’interesse per le tecnologie digitali e il loro utilizzo con dimestichezza e spirito critico e responsabile per apprendere, lavorare e partecipare alla società. Essa comprende l’alfabetizzazione informatica e digitale, la comunicazione e la collaborazione, l’alfabetizzazione mediatica, la creazione di contenuti digitali (inclusa la programmazione), la sicurezza (compreso l’essere a proprio agio nel mondo digitale e possedere competenze relative alla cibersicurezza), le questioni legate alla proprietà intellettuale, la risoluzione di problemi e il pensiero critico.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PERSONALE, SOCIALE E CAPACITA’ DI IMPARARE A IMPARARE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personale, sociale e la capacità di imparare a imparare consiste nella capacità di riflettere su sé stessi, di gestire efficacemente il tempo e le informazioni, di lavorare con gli altri in maniera costruttiva, di mantenersi resilienti e di gestire il proprio apprendimento e la propria carriera. Comprende la capacità di far fronte all’incertezza e alla complessità, di imparare a imparare, di favorire il proprio benessere fisico ed emotivo, di mantenere la salute fisica e mentale, nonché di essere in grado di condurre una vita attenta alla salute e orientata al futuro, di empatizzare e di gestire il conflitto in un contesto favorevole e inclusivo.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IN MATERIA DI CITTADINANZA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in materia di cittadinanza si riferisce alla capacità di agire da cittadini responsabili e di partecipare pienamente alla vita civica e sociale, in base alla comprensione delle strutture e dei concetti sociali, economici, giuridici e politici oltre che dell’evoluzione a livello globale e della sostenibilità.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IMPRENDITORIALE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imprenditoriale si riferisce alla capacità di agire sulla base di idee e opportunità e di trasformarle in valori per gli altri. Si fonda sulla creatività, sul pensiero critico e sulla risoluzione di problemi, sull’iniziativa e sulla perseveranza, nonché sulla capacità di lavorare in modalità collaborativa al fine di programmare e gestire progetti che hanno un valore culturale, sociale o finanziario.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IN MATERIA DI CONSAPEVOLEZZA ED ESPRESSIONE CULTURALI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in materia di consapevolezza ed espressione culturali implica la comprensione e il rispetto di come le idee e i significati vengono espressi creativamente e comunicati in diverse culture e tramite tutta una serie di arti e altre forme culturali. Presuppone l’impegno di capire, sviluppare ed esprimere le proprie idee e il senso della propria funzione o del proprio ruolo nella società in una serie di modi e contesti.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TRASVERSALI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Imparare ad Imparare 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e comunicare  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 collegamenti e relazioni  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Risolvere problemi  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digitale  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Progettare  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Collaborare e partecipare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ORGANIZZAZIONE DISCIPLINARE PER NUCLEI TEMATICI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DISCIPLINA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TRAGUARDI PER LO SVILUPPO DELLE COMPETENZE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OBIETTIVI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ATTIVITA’ E CONTENUTI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N.ORE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ITALIANO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COSTRUZIONE DEL Sé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4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Prendere decisioni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 linea con i propri valori e non solo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conformità sociale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4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Affrontare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le critiche senza che minino il proprio senso di valore.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4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Ascoltare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 rispettare l’altro, riconoscendo e valorizzando le capacità di ognuno.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4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Applicare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disciplina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(imparata con la danza o lo sport) o 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creatività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(imparata con la musica) al proprio metodo di studio e al progetto di vita.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4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Usare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proprie passioni come chiave per scoprire opportunità di crescita e di lavoro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4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Conoscenza di sé, gestione di sé e rispetto di sé : Riconoscere e rispettare i propri pensieri, sentimenti e bisogni.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4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Riconoscere le proprie risorse personali: Identificare e nominare almeno i propri punti di forza (abilità, talenti, passioni) e i propri interessi scolastici ed extrascolastici.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4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Riconoscere la nuova fase di crescita e l'importanza del percorso di orientamento come scoperta progressiva di sé.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Scoprirsi per crescere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2"/>
              </w:numPr>
              <w:tabs>
                <w:tab w:val="left" w:leader="none" w:pos="820"/>
              </w:tabs>
              <w:ind w:left="720" w:hanging="360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L’adolescenza.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2"/>
              </w:numPr>
              <w:tabs>
                <w:tab w:val="left" w:leader="none" w:pos="820"/>
              </w:tabs>
              <w:ind w:left="720" w:hanging="360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espressioni dell’amicizia.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2"/>
              </w:numPr>
              <w:tabs>
                <w:tab w:val="left" w:leader="none" w:pos="820"/>
              </w:tabs>
              <w:ind w:left="720" w:hanging="360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bullismo.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12"/>
              </w:numPr>
              <w:tabs>
                <w:tab w:val="left" w:leader="none" w:pos="820"/>
              </w:tabs>
              <w:ind w:left="720" w:hanging="360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Sentirsi soli.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12"/>
              </w:numPr>
              <w:tabs>
                <w:tab w:val="left" w:leader="none" w:pos="820"/>
              </w:tabs>
              <w:ind w:left="720" w:hanging="360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desiderio di crescere.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12"/>
              </w:numPr>
              <w:tabs>
                <w:tab w:val="left" w:leader="none" w:pos="820"/>
              </w:tabs>
              <w:ind w:left="720" w:hanging="360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Coltivare le proprie passioni: la danza, lo sport, la musica, la vita all’aria aperta …</w:t>
            </w:r>
          </w:p>
          <w:p w:rsidR="00000000" w:rsidDel="00000000" w:rsidP="00000000" w:rsidRDefault="00000000" w:rsidRPr="00000000" w14:paraId="000000A9">
            <w:pPr>
              <w:widowControl w:val="0"/>
              <w:tabs>
                <w:tab w:val="left" w:leader="none" w:pos="8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tabs>
                <w:tab w:val="left" w:leader="none" w:pos="8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Letture dal testo di Antologia</w:t>
            </w:r>
          </w:p>
          <w:p w:rsidR="00000000" w:rsidDel="00000000" w:rsidP="00000000" w:rsidRDefault="00000000" w:rsidRPr="00000000" w14:paraId="000000AB">
            <w:pPr>
              <w:widowControl w:val="0"/>
              <w:tabs>
                <w:tab w:val="left" w:leader="none" w:pos="8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RAPPORTO CON LA REALTA’ TERRITORIALE E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6"/>
              </w:numPr>
              <w:ind w:left="283.4645669291338" w:hanging="359.9999999999994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Valorizzazione della democrazia, giustizia, equità, uguaglianza e Stato di diritto: Comprendere e accettare l’autorità legittima e le regole scolastiche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6"/>
              </w:numPr>
              <w:ind w:left="283.4645669291338" w:hanging="359.9999999999994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rtl w:val="0"/>
              </w:rPr>
              <w:t xml:space="preserve">Utilizzare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le conoscenze storiche per leggere in modo critico 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rtl w:val="0"/>
              </w:rPr>
              <w:t xml:space="preserve">complessità del presente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 (es. come l'organizzazione del lavoro odierno sia figlia delle trasformazioni passate)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6"/>
              </w:numPr>
              <w:ind w:left="283.4645669291338" w:hanging="359.99999999999943"/>
              <w:jc w:val="both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rtl w:val="0"/>
              </w:rPr>
              <w:t xml:space="preserve">Ricavare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dati e spunti da fonti diverse e organizzarli per elaborare una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rtl w:val="0"/>
              </w:rPr>
              <w:t xml:space="preserve">visione critica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 (utile per l'analisi e la scelta della Scuola Superiore).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6"/>
              </w:numPr>
              <w:ind w:left="283.4645669291338" w:hanging="359.9999999999994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rtl w:val="0"/>
              </w:rPr>
              <w:t xml:space="preserve">Sviluppare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la capacità di individuare nessi causali e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rtl w:val="0"/>
              </w:rPr>
              <w:t xml:space="preserve">operare scelte consapevoli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 proiettate nel futuro, basandosi sull'analisi del passato.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6"/>
              </w:numPr>
              <w:ind w:left="283.4645669291338" w:hanging="359.9999999999994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rtl w:val="0"/>
              </w:rPr>
              <w:t xml:space="preserve">Osservare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come l'innovazione (tecnologica, artistica, sociale) sia stata motore del cambiamento storico (es. nell'Umanesimo).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tabs>
                <w:tab w:val="left" w:leader="none" w:pos="820"/>
              </w:tabs>
              <w:ind w:left="141.73228346456654" w:firstLine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Umanesimo e Rinascimento</w:t>
            </w:r>
          </w:p>
          <w:p w:rsidR="00000000" w:rsidDel="00000000" w:rsidP="00000000" w:rsidRDefault="00000000" w:rsidRPr="00000000" w14:paraId="000000B5">
            <w:pPr>
              <w:widowControl w:val="0"/>
              <w:tabs>
                <w:tab w:val="left" w:leader="none" w:pos="820"/>
              </w:tabs>
              <w:ind w:left="141.7322834645665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riscoperta del mondo classico</w:t>
            </w:r>
          </w:p>
          <w:p w:rsidR="00000000" w:rsidDel="00000000" w:rsidP="00000000" w:rsidRDefault="00000000" w:rsidRPr="00000000" w14:paraId="000000B6">
            <w:pPr>
              <w:widowControl w:val="0"/>
              <w:tabs>
                <w:tab w:val="left" w:leader="none" w:pos="820"/>
              </w:tabs>
              <w:ind w:left="141.7322834645665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nascita della stampa</w:t>
            </w:r>
          </w:p>
          <w:p w:rsidR="00000000" w:rsidDel="00000000" w:rsidP="00000000" w:rsidRDefault="00000000" w:rsidRPr="00000000" w14:paraId="000000B7">
            <w:pPr>
              <w:widowControl w:val="0"/>
              <w:tabs>
                <w:tab w:val="left" w:leader="none" w:pos="820"/>
              </w:tabs>
              <w:ind w:left="141.7322834645665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Gli intellettuali del Rinascimento</w:t>
            </w:r>
          </w:p>
          <w:p w:rsidR="00000000" w:rsidDel="00000000" w:rsidP="00000000" w:rsidRDefault="00000000" w:rsidRPr="00000000" w14:paraId="000000B8">
            <w:pPr>
              <w:widowControl w:val="0"/>
              <w:tabs>
                <w:tab w:val="left" w:leader="none" w:pos="820"/>
              </w:tabs>
              <w:ind w:left="141.73228346456654" w:firstLine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principi e mecenati.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MATEMATICA E SCIENZE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RELAZIONE CON GLI ALTRI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3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Rifiutare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richieste inappropriate (es. legate al bullismo o al conformismo) mantenendo il rispetto per sé e per gli altri.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3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Comprendere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come il proprio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background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culturale possa essere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valore aggiunto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o, in certi casi, una sfida nel percorso di studio o professionale scelto.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3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Collaborare in modo costruttivo: Partecipare attivamente alle attività di gruppo, contribuendo con idee e condividendo i materiali e le responsabilità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Lotta alle dipendenze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Bergamoscienza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INGLESE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COSTRUZIONE DEL Sé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7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Prendere decisioni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 linea con i propri valori e non solo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conformità sociale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7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Affrontare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le critiche senza che minino il proprio senso di valore.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7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Ascoltare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 rispettare l’altro, riconoscendo e valorizzando le capacità di ognuno.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7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Usare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proprie passioni come chiave per scoprire opportunità di crescita e di lavoro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5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Riconoscere le proprie risorse personali: Identificare e nominare almeno i propri punti di forza (abilità, talenti, passioni) e i propri interessi scolastici ed extrascolastici.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Be a good team member: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imparare a lavorare bene con gli altri è importante. Collaborare vuol dire comunicare, condividere le idee e i compiti, ascoltare e rispettare i diversi punti di vista.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Manage your screen time: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quando prendiamo la decisione di stabilire più equilibrio tra il mondo online e la vita intorno a noi, assumiamo una responsabilità per il nostro comportamento e il nostro benessere. Imparare a gestire il tempo è una capacità essenziale anche per il futuro. 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Make good choices: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fare la scelta giusta può influenzare il nostro futuro. Bisogna prendere tempo e stabilire le priorità, valutare opzioni e analizzarle bene per risolvere eventuali problemi. È importante anche pensare alle potenziali conseguenze delle nostre decisioni. 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Mindfulness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concentrarsi sul momento presente è una pratica molto efficace per migliorare la consapevolezza e l’attenzione nei piccoli momenti e nelle attività della vita quotidiana. Aiuta a sviluppare abitudini sane e a gestire lo stress. 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Visione film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“La ballerina”,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che narra la storia di una bambina sfortunata, cresciuta in un orfanotrofio la quale, nonostante le grandi difficoltà patite, riesce a realizzare il proprio sogno, dimostrando forza di volontà, capacità di superare gli ostacoli e forte resilienza.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FRANCESE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RAPPORTO CON LA REALTA’ TERRITORIALE E SOCIALE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2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Pianificare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azioni concrete per l'approfondimento (es. Open Day,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stage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brevi, interviste) per testare l'ipotesi di scelta.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2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Verbalizzare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proprie attitudini, passioni, esperienze e aspirazioni personali.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2"/>
              </w:numPr>
              <w:ind w:left="283.4645669291338" w:hanging="359.9999999999994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Valutare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l'apprendimento di una seconda lingua comunitaria come investimento fondamentale per il proprio futuro professionale.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2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Presentare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 modo chiaro il percorso di studi selezionato, giustificando la coerenza tra le proprie attitudini e l'offerta formativa.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hd w:fill="ffffff" w:val="clear"/>
              <w:jc w:val="both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La fiera dell'orientamento di Marseille, Le Parc Chanot; les Lycées</w:t>
            </w:r>
          </w:p>
          <w:p w:rsidR="00000000" w:rsidDel="00000000" w:rsidP="00000000" w:rsidRDefault="00000000" w:rsidRPr="00000000" w14:paraId="000000DC">
            <w:pPr>
              <w:shd w:fill="ffffff" w:val="clear"/>
              <w:jc w:val="both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Interviste a giovani stagiaires (apprendisti)</w:t>
            </w:r>
          </w:p>
          <w:p w:rsidR="00000000" w:rsidDel="00000000" w:rsidP="00000000" w:rsidRDefault="00000000" w:rsidRPr="00000000" w14:paraId="000000DD">
            <w:pPr>
              <w:shd w:fill="ffffff" w:val="clear"/>
              <w:jc w:val="both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Lessico dei mestieri</w:t>
            </w:r>
          </w:p>
          <w:p w:rsidR="00000000" w:rsidDel="00000000" w:rsidP="00000000" w:rsidRDefault="00000000" w:rsidRPr="00000000" w14:paraId="000000DE">
            <w:pPr>
              <w:shd w:fill="ffffff" w:val="clear"/>
              <w:jc w:val="both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Le stage de formation</w:t>
            </w:r>
          </w:p>
          <w:p w:rsidR="00000000" w:rsidDel="00000000" w:rsidP="00000000" w:rsidRDefault="00000000" w:rsidRPr="00000000" w14:paraId="000000DF">
            <w:pPr>
              <w:shd w:fill="ffffff" w:val="clear"/>
              <w:jc w:val="both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Video su varie professioni.</w:t>
            </w:r>
          </w:p>
          <w:p w:rsidR="00000000" w:rsidDel="00000000" w:rsidP="00000000" w:rsidRDefault="00000000" w:rsidRPr="00000000" w14:paraId="000000E0">
            <w:pPr>
              <w:shd w:fill="ffffff" w:val="clear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Expolangue française.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SPAGNOLO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CONOSCENZA DEL Sé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8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Verbalizzare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proprie attitudini, passioni, esperienze e aspirazioni personali.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8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Presentare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 modo chiaro il percorso di studi selezionato, giustificando la coerenza tra le proprie attitudini e l'offerta formativa.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hd w:fill="ffffff" w:val="clear"/>
              <w:tabs>
                <w:tab w:val="left" w:leader="none" w:pos="820"/>
              </w:tabs>
              <w:jc w:val="both"/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- Espressioni per parlare dell'identità personale e delle aspirazioni future, come "Come mi vedo in futuro?" e "Obiettivi personali e professionali".</w:t>
            </w:r>
          </w:p>
          <w:p w:rsidR="00000000" w:rsidDel="00000000" w:rsidP="00000000" w:rsidRDefault="00000000" w:rsidRPr="00000000" w14:paraId="000000E7">
            <w:pPr>
              <w:widowControl w:val="0"/>
              <w:shd w:fill="ffffff" w:val="clear"/>
              <w:tabs>
                <w:tab w:val="left" w:leader="none" w:pos="820"/>
              </w:tabs>
              <w:jc w:val="both"/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- Attività comunicative per esprimere preferenze, intenzioni, e fare proposte riguardo al proprio percorso di vita o studio.</w:t>
            </w:r>
          </w:p>
          <w:p w:rsidR="00000000" w:rsidDel="00000000" w:rsidP="00000000" w:rsidRDefault="00000000" w:rsidRPr="00000000" w14:paraId="000000E8">
            <w:pPr>
              <w:widowControl w:val="0"/>
              <w:shd w:fill="ffffff" w:val="clear"/>
              <w:tabs>
                <w:tab w:val="left" w:leader="none" w:pos="820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RAPPORTO CON LA REALTA’ TERRITORIALE E SOCIALE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1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Identificazione di Opportunità: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Riconoscere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nicchie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di mercato o le aree di sviluppo (es. il Terziario avanzato, le tecnologie verdi, il turismo culturale) come potenziali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ambiti di auto-imprenditorialità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 specializzazione.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1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Riconoscere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 uno sguardo oggettivo e realistico i punti di forza e di debolezza della propria personalità.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"/>
              </w:numPr>
              <w:ind w:left="283.4645669291342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Valutare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 effettuare una scelta basandosi anche sulle opportunità offerte dal mercato del lavoro.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L'evoluzione del mestiere di musicista nella storia.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F1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