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POTENZIAMENTO DI ITALIANO PER L’INCLUSIONE a.s. 2025-2026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La programmazione per un livello </w:t>
      </w:r>
      <w:r w:rsidDel="00000000" w:rsidR="00000000" w:rsidRPr="00000000">
        <w:rPr>
          <w:b w:val="1"/>
          <w:color w:val="1b1c1d"/>
          <w:rtl w:val="0"/>
        </w:rPr>
        <w:t xml:space="preserve">A1/</w:t>
      </w: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A1+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richiede un lavoro di acquisizione e </w:t>
      </w:r>
      <w:r w:rsidDel="00000000" w:rsidR="00000000" w:rsidRPr="00000000">
        <w:rPr>
          <w:color w:val="1b1c1d"/>
          <w:rtl w:val="0"/>
        </w:rPr>
        <w:t xml:space="preserve">consolidamento delle BICS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(Basic Interpersonal Communicative Skills), ovvero le co</w:t>
      </w:r>
      <w:r w:rsidDel="00000000" w:rsidR="00000000" w:rsidRPr="00000000">
        <w:rPr>
          <w:color w:val="1b1c1d"/>
          <w:rtl w:val="0"/>
        </w:rPr>
        <w:t xml:space="preserve">mpetenze comunicative di base,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partendo dal lessico fondamentale (Vocabolario di Base =VdB) di Tullio </w:t>
      </w:r>
      <w:r w:rsidDel="00000000" w:rsidR="00000000" w:rsidRPr="00000000">
        <w:rPr>
          <w:color w:val="1b1c1d"/>
          <w:rtl w:val="0"/>
        </w:rPr>
        <w:t xml:space="preserve">De Mauro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(che si può reperir</w:t>
      </w:r>
      <w:r w:rsidDel="00000000" w:rsidR="00000000" w:rsidRPr="00000000">
        <w:rPr>
          <w:color w:val="1b1c1d"/>
          <w:rtl w:val="0"/>
        </w:rPr>
        <w:t xml:space="preserve">e online) 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e muovendosi verso l'uso delle strutture grammaticali necessarie per interagire su temi noti.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color w:val="1b1c1d"/>
          <w:rtl w:val="0"/>
        </w:rPr>
        <w:t xml:space="preserve">Proposta di p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rogrammazione </w:t>
      </w:r>
      <w:r w:rsidDel="00000000" w:rsidR="00000000" w:rsidRPr="00000000">
        <w:rPr>
          <w:color w:val="1b1c1d"/>
          <w:rtl w:val="0"/>
        </w:rPr>
        <w:t xml:space="preserve">mensile,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da metà ottobre 2025 a fine maggio 2026, focalizzata sul </w:t>
      </w:r>
      <w:r w:rsidDel="00000000" w:rsidR="00000000" w:rsidRPr="00000000">
        <w:rPr>
          <w:color w:val="1b1c1d"/>
          <w:rtl w:val="0"/>
        </w:rPr>
        <w:t xml:space="preserve">VbB 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e sull'interazione orale.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Programmazione Didattica L2 - Livello A1/A1+ Scuola Primaria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Durata: Metà Ottobre 2025 - Fine Maggio 2026 (circa 30 settimane)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Livello Target: A1/A1+ (Acquisizione e Consolidamento BICS)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Focalizzazione: Lessico VdB (FO/AU), Presente Indicativo, Strutture Preposizionali, Comparazione.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Metodologie: TPR Avanzato (Produzione), Didattica Ludica Interattiva.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Struttura della Programmazione per Macro-Unità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Periodo (Settimane)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Macro-Area Tematica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Lessico Prioritario (VdB De Mauro)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Funzioni Comunicative (BICS)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Strutture Linguistiche (Consolidamento)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Ottobre (metà) - Novembre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1. Io, la Classe e la Comunicazione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Nomi: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quaderno, gomma, zaino, compagno, insegnante, aiuto, regola.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rispondere, capire, ripetere, sbagliare, aiutare.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Chiedere di ripetere, di parlare lentamente, di scrivere. Chiedere/offrire aiuto e accettarlo. Esprimere preferenze sull'apprendimento.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Essere/Avere/Chiamarsi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al Presente. Articoli determinativi e indeterminativi. Aggettivi possessivi (mio/tuo/suo). Domande con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Chi/Cosa/Come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Dicembre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2. Lo Spazio: Casa e Posizione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Nomi: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camera, cucina, bagno, soggiorno, indirizzo, piano, telefono.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abitare, vivere, mettere, trovare, cercare, pulire.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Aggettivi: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pulito, sporco, vecchio, nuovo.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Descrivere la propria casa (stanze, oggetti, qualità). Chiedere/Dare informazioni spaziali precise. Dire dove si mettono le cose.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C'è/Ci sono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Preposizioni semplici e articolate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(base: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nella, sul, del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Avverbi di luogo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davanti, dietro, sopra, sotto, a</w:t>
            </w:r>
            <w:r w:rsidDel="00000000" w:rsidR="00000000" w:rsidRPr="00000000">
              <w:rPr>
                <w:i w:val="1"/>
                <w:color w:val="1b1c1d"/>
                <w:rtl w:val="0"/>
              </w:rPr>
              <w:t xml:space="preserve">ccanto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 Plurale regolare.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Gennaio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3. Il Tempo: Routine e Azioni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Nomi: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mattina, pomeriggio, sera, ora, minuto, colazione, settimana.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 (Riflessivi):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svegliarsi, lavarsi, vestirsi.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 Regolari: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studiare, finire, giocare, comprare, cucinare.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Descrivere la propria routine quotidiana in sequenza logica. Chiedere e dire l'ora esatta e la data.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 Regolari in -ARE/-ERE/-IRE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(Presente Indicativo).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 Riflessivi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(introduzione).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Avverbi di tempo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prima, dopo, adesso, poi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Febbraio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4. I Gusti e le Scelte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Nomi: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frutta, verdura, carne, pesce, dolce, salato, supermercato.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piacere, preferire, volere, comprare, assaggiare.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Aggettivi: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buono, cattivo, sano.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Esprimere gusti e preferenze (con motivazione semplice). Ordinare o chiedere al bar/tavola. Offrire e rifiutare con cortesia.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Struttura Mi piace/Mi piacciono... perché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. Uso di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Voglio/Vorrei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Perché/Perché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come congiunzione e avverbio. Uso di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non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come negazione.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Marzo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5. Descrivere e Confrontare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Nomi: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negozio, strada, città, animale.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Aggettivi: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alto, basso, magro, grasso, giovane, vecchio, caro, economico.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Comparativi: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più, meno.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Descrivere persone (aspetto fisico e vestiti). Descrivere luoghi e oggetti (dettagli). Confrontare due elementi (base).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Comparativo di Maggioranza/Minoranza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(struttura fissa: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più... di/meno... di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Preposizioni articolate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(consolidamento).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Aprile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6. Esperienze Passate e Future (Avvio PP)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Nomi: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vacanza, festa, regalo, compleanno.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 (PP):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andare, venire, uscire, fare, vedere (participio passato regolare).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Raccontare una breve esperienza passata (il fine settimana, una festa). Chiedere e rispondere su cosa si è fatto. Esprimere un progetto futuro immediato.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Avvio del Passato Prossimo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(solo con i verbi più frequenti con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Avere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Essere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Avvio del Futuro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(solo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sarà/saranno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Maggio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b w:val="1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7. Istruzioni e Possibilità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Nomi: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regola, divieto, permesso, desiderio, progetto.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 Modali: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dovere, potere, volere, provare.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Dare istruzioni (come fare qualcosa, ricette semplici). Esprimere un obbligo o un divieto. Esprimere un desiderio per il futuro.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afd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5.9999942779541" w:lineRule="auto"/>
              <w:rPr>
                <w:rFonts w:ascii="Arial" w:cs="Arial" w:eastAsia="Arial" w:hAnsi="Arial"/>
                <w:color w:val="1b1c1d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Verbi Modali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1b1c1d"/>
                <w:shd w:fill="auto" w:val="clear"/>
                <w:rtl w:val="0"/>
              </w:rPr>
              <w:t xml:space="preserve">Dovere, Potere, Volere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 al Presente) seguiti da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Infinito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. Frasi complesse base con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b1c1d"/>
                <w:shd w:fill="auto" w:val="clear"/>
                <w:rtl w:val="0"/>
              </w:rPr>
              <w:t xml:space="preserve">"Quando/Se..."</w:t>
            </w:r>
            <w:r w:rsidDel="00000000" w:rsidR="00000000" w:rsidRPr="00000000">
              <w:rPr>
                <w:rFonts w:ascii="Arial" w:cs="Arial" w:eastAsia="Arial" w:hAnsi="Arial"/>
                <w:color w:val="1b1c1d"/>
                <w:shd w:fill="auto" w:val="clear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75.9999942779541" w:lineRule="auto"/>
        <w:rPr>
          <w:rFonts w:ascii="Arial" w:cs="Arial" w:eastAsia="Arial" w:hAnsi="Arial"/>
          <w:color w:val="1b1c1d"/>
          <w:shd w:fill="auto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Proposte di Gioco e Attività Ludiche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Le attività per l'A1+ devono stimolare la produzione linguistica e l'interazione, uscendo dal solo TPR di risposta.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b w:val="1"/>
          <w:color w:val="1b1c1d"/>
          <w:sz w:val="28"/>
          <w:szCs w:val="28"/>
        </w:rPr>
      </w:pPr>
      <w:r w:rsidDel="00000000" w:rsidR="00000000" w:rsidRPr="00000000">
        <w:rPr>
          <w:b w:val="1"/>
          <w:color w:val="1b1c1d"/>
          <w:sz w:val="28"/>
          <w:szCs w:val="28"/>
          <w:rtl w:val="0"/>
        </w:rPr>
        <w:t xml:space="preserve">1. Gioco di Ruolo: "L'Intervista alla Famiglia" (Dicembre)</w:t>
      </w:r>
    </w:p>
    <w:p w:rsidR="00000000" w:rsidDel="00000000" w:rsidP="00000000" w:rsidRDefault="00000000" w:rsidRPr="00000000" w14:paraId="0000003A">
      <w:pPr>
        <w:spacing w:after="120" w:line="275.9999942779541" w:lineRule="auto"/>
        <w:rPr>
          <w:color w:val="1b1c1d"/>
        </w:rPr>
      </w:pPr>
      <w:r w:rsidDel="00000000" w:rsidR="00000000" w:rsidRPr="00000000">
        <w:rPr>
          <w:color w:val="1b1c1d"/>
          <w:rtl w:val="0"/>
        </w:rPr>
        <w:t xml:space="preserve">Questo gioco spinge l'alunno a usare strutture preposizionali e descrittive per parlare di un contesto non presente (la casa).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line="275.9999942779541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Obiettivo:</w:t>
      </w:r>
      <w:r w:rsidDel="00000000" w:rsidR="00000000" w:rsidRPr="00000000">
        <w:rPr>
          <w:color w:val="1b1c1d"/>
          <w:rtl w:val="0"/>
        </w:rPr>
        <w:t xml:space="preserve"> Consolidamento del lessico famiglia/casa e delle preposizioni. Sviluppo della funzione: chiedere e dare informazioni dettagliate.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line="275.9999942779541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Svolgimento:</w:t>
      </w:r>
      <w:r w:rsidDel="00000000" w:rsidR="00000000" w:rsidRPr="00000000">
        <w:rPr>
          <w:color w:val="1b1c1d"/>
          <w:rtl w:val="0"/>
        </w:rPr>
        <w:t xml:space="preserve"> L'insegnante usa dei pupazzi o disegni che rappresentano membri della famiglia.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line="275.9999942779541" w:lineRule="auto"/>
        <w:ind w:left="885" w:hanging="360"/>
      </w:pPr>
      <w:r w:rsidDel="00000000" w:rsidR="00000000" w:rsidRPr="00000000">
        <w:rPr>
          <w:b w:val="1"/>
          <w:color w:val="1b1c1d"/>
          <w:rtl w:val="0"/>
        </w:rPr>
        <w:t xml:space="preserve">L'Intervistatore</w:t>
      </w:r>
      <w:r w:rsidDel="00000000" w:rsidR="00000000" w:rsidRPr="00000000">
        <w:rPr>
          <w:color w:val="1b1c1d"/>
          <w:rtl w:val="0"/>
        </w:rPr>
        <w:t xml:space="preserve"> (un alunno) chiede: </w:t>
      </w:r>
      <w:r w:rsidDel="00000000" w:rsidR="00000000" w:rsidRPr="00000000">
        <w:rPr>
          <w:i w:val="1"/>
          <w:color w:val="1b1c1d"/>
          <w:rtl w:val="0"/>
        </w:rPr>
        <w:t xml:space="preserve">Quanti siete in famiglia? Dove abiti?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line="275.9999942779541" w:lineRule="auto"/>
        <w:ind w:left="885" w:hanging="360"/>
      </w:pPr>
      <w:r w:rsidDel="00000000" w:rsidR="00000000" w:rsidRPr="00000000">
        <w:rPr>
          <w:b w:val="1"/>
          <w:color w:val="1b1c1d"/>
          <w:rtl w:val="0"/>
        </w:rPr>
        <w:t xml:space="preserve">L'Intervistato</w:t>
      </w:r>
      <w:r w:rsidDel="00000000" w:rsidR="00000000" w:rsidRPr="00000000">
        <w:rPr>
          <w:color w:val="1b1c1d"/>
          <w:rtl w:val="0"/>
        </w:rPr>
        <w:t xml:space="preserve"> (un altro alunno) risponde e descrive la propria casa e la posizione di oggetti importanti: </w:t>
      </w:r>
      <w:r w:rsidDel="00000000" w:rsidR="00000000" w:rsidRPr="00000000">
        <w:rPr>
          <w:i w:val="1"/>
          <w:color w:val="1b1c1d"/>
          <w:rtl w:val="0"/>
        </w:rPr>
        <w:t xml:space="preserve">Abito in un appartamento grande. La mia camera è </w:t>
      </w:r>
      <w:r w:rsidDel="00000000" w:rsidR="00000000" w:rsidRPr="00000000">
        <w:rPr>
          <w:b w:val="1"/>
          <w:i w:val="1"/>
          <w:color w:val="1b1c1d"/>
          <w:rtl w:val="0"/>
        </w:rPr>
        <w:t xml:space="preserve">vicino al</w:t>
      </w:r>
      <w:r w:rsidDel="00000000" w:rsidR="00000000" w:rsidRPr="00000000">
        <w:rPr>
          <w:i w:val="1"/>
          <w:color w:val="1b1c1d"/>
          <w:rtl w:val="0"/>
        </w:rPr>
        <w:t xml:space="preserve"> bagno. Il mio letto è </w:t>
      </w:r>
      <w:r w:rsidDel="00000000" w:rsidR="00000000" w:rsidRPr="00000000">
        <w:rPr>
          <w:b w:val="1"/>
          <w:i w:val="1"/>
          <w:color w:val="1b1c1d"/>
          <w:rtl w:val="0"/>
        </w:rPr>
        <w:t xml:space="preserve">sotto</w:t>
      </w:r>
      <w:r w:rsidDel="00000000" w:rsidR="00000000" w:rsidRPr="00000000">
        <w:rPr>
          <w:i w:val="1"/>
          <w:color w:val="1b1c1d"/>
          <w:rtl w:val="0"/>
        </w:rPr>
        <w:t xml:space="preserve"> la finestra.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120" w:line="275.9999942779541" w:lineRule="auto"/>
        <w:ind w:left="465" w:hanging="360"/>
      </w:pPr>
      <w:r w:rsidDel="00000000" w:rsidR="00000000" w:rsidRPr="00000000">
        <w:rPr>
          <w:b w:val="1"/>
          <w:color w:val="1b1c1d"/>
          <w:rtl w:val="0"/>
        </w:rPr>
        <w:t xml:space="preserve">Strutture Sollecitate:</w:t>
      </w:r>
      <w:r w:rsidDel="00000000" w:rsidR="00000000" w:rsidRPr="00000000">
        <w:rPr>
          <w:color w:val="1b1c1d"/>
          <w:rtl w:val="0"/>
        </w:rPr>
        <w:t xml:space="preserve"> </w:t>
      </w:r>
      <w:r w:rsidDel="00000000" w:rsidR="00000000" w:rsidRPr="00000000">
        <w:rPr>
          <w:i w:val="1"/>
          <w:color w:val="1b1c1d"/>
          <w:rtl w:val="0"/>
        </w:rPr>
        <w:t xml:space="preserve">Il/La... è...; C'è/Ci sono...; Il mio...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color w:val="1b1c1d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. TPR Avanzato: "Segui la Ricetta" (Gennaio - Maggio)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Questa attività consolida il vocabolario di cucina e la sequenza temporale (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prima, dopo, poi, infine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).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Obiettivo: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Comprensione e produzione di istruzioni complesse. Uso dei verbi regolari e avverbi di sequenza.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Svolgimento: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L'insegnante prepara una "ricetta" inventata (es. "La ricetta del panino super").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Ricezione: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L'insegnante dà le istruzioni con sequenza temporale (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Prima prendi il pane. Poi apri il frigo...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). Gli alunni eseguono con oggetti di plastica o disegni.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Produzione (A1+):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Gli alunni lavorano in coppia</w:t>
      </w:r>
      <w:r w:rsidDel="00000000" w:rsidR="00000000" w:rsidRPr="00000000">
        <w:rPr>
          <w:color w:val="1b1c1d"/>
          <w:rtl w:val="0"/>
        </w:rPr>
        <w:t xml:space="preserve">: u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n alunno </w:t>
      </w: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crea la sua "ricetta" e dà le istruzioni al compagno </w:t>
      </w: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che le esegue. </w:t>
      </w: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deve usare i verbi di azione e gli avverbi di sequenza temporale corretti.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Strutture Sollecitate: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Prima devi...; Poi metti...; Dopo tocca a...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Arial" w:cs="Arial" w:eastAsia="Arial" w:hAnsi="Arial"/>
          <w:i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Arial" w:cs="Arial" w:eastAsia="Arial" w:hAnsi="Arial"/>
          <w:i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3. Gioco Grammaticale: "Indovina Chi è Più..." (Marzo)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Ideale per introdurre e praticare il comparativo di maggioranza/minoranza.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Obiettivo: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Uso dei comparativi semplici e degli aggettivi descrittivi.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Svolgimento: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Si usano foto di personaggi famosi, animali o anche disegni di compagni (con rispetto) o oggetti dell'aula.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L'insegnante lancia il gioco con un aggettivo (es.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alto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Gli alunni devono confrontare due elementi a scelta usando la struttura: </w:t>
      </w: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A è più... di B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1290" w:hanging="360"/>
        <w:rPr/>
      </w:pP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Marco è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più alto di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Luca.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1290" w:hanging="360"/>
        <w:rPr/>
      </w:pP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La gomma è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più piccola del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libro.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88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Variazione (La descrizione):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Si introduce la negazione e l'aggettivo di colore.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La sedia rossa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è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più pesante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della sedia blu.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Strutture Sollecitate: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... è più/meno [aggettivo] di...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5.9999942779541" w:lineRule="auto"/>
        <w:rPr>
          <w:rFonts w:ascii="Arial" w:cs="Arial" w:eastAsia="Arial" w:hAnsi="Arial"/>
          <w:i w:val="1"/>
          <w:color w:val="1b1c1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rPr>
          <w:rFonts w:ascii="Arial" w:cs="Arial" w:eastAsia="Arial" w:hAnsi="Arial"/>
          <w:color w:val="1b1c1d"/>
        </w:rPr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4. Attività di Produzione Orale: "La Ruota dei Giorni" (Aprile - Maggio)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Obiettivo: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Raccontare brevi azioni al passato prossimo.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Svolgimento: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Si crea una ruota che indica i giorni della settimana (Sabato, Domenica). L'alunno la gira e pesca una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flashcard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di un verbo (es.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mangiare la pizza, andare al parco, vedere un film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L'alunno deve dire: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Sabato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ho mangiato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la pizza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o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Domenica </w:t>
      </w:r>
      <w:r w:rsidDel="00000000" w:rsidR="00000000" w:rsidRPr="00000000">
        <w:rPr>
          <w:rFonts w:ascii="Arial" w:cs="Arial" w:eastAsia="Arial" w:hAnsi="Arial"/>
          <w:b w:val="1"/>
          <w:i w:val="1"/>
          <w:color w:val="1b1c1d"/>
          <w:rtl w:val="0"/>
        </w:rPr>
        <w:t xml:space="preserve">sono andato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 al parco.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(Focus su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Avere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ed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Essere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con i verbi più comuni).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5.9999942779541" w:lineRule="auto"/>
        <w:ind w:left="465" w:hanging="360"/>
        <w:rPr/>
      </w:pPr>
      <w:r w:rsidDel="00000000" w:rsidR="00000000" w:rsidRPr="00000000">
        <w:rPr>
          <w:rFonts w:ascii="Arial" w:cs="Arial" w:eastAsia="Arial" w:hAnsi="Arial"/>
          <w:b w:val="1"/>
          <w:color w:val="1b1c1d"/>
          <w:rtl w:val="0"/>
        </w:rPr>
        <w:t xml:space="preserve">Interazione: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I compagni chiedono: </w:t>
      </w:r>
      <w:r w:rsidDel="00000000" w:rsidR="00000000" w:rsidRPr="00000000">
        <w:rPr>
          <w:rFonts w:ascii="Arial" w:cs="Arial" w:eastAsia="Arial" w:hAnsi="Arial"/>
          <w:i w:val="1"/>
          <w:color w:val="1b1c1d"/>
          <w:rtl w:val="0"/>
        </w:rPr>
        <w:t xml:space="preserve">Cosa hai mangiato?</w:t>
      </w:r>
      <w:r w:rsidDel="00000000" w:rsidR="00000000" w:rsidRPr="00000000">
        <w:rPr>
          <w:rFonts w:ascii="Arial" w:cs="Arial" w:eastAsia="Arial" w:hAnsi="Arial"/>
          <w:color w:val="1b1c1d"/>
          <w:rtl w:val="0"/>
        </w:rPr>
        <w:t xml:space="preserve"> (Spingendo l'alunno a rispondere con la struttura semplice appresa).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465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GOX3Xq8m/2W33q9kzISomy2keg==">CgMxLjA4AHIhMXNuVGRETTlfVFFWRmlvTFZFOHlTSnM4VWo4TjhZOTJm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