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0" w:before="0" w:lineRule="auto"/>
        <w:ind w:left="567" w:right="567" w:firstLine="0"/>
        <w:jc w:val="center"/>
        <w:rPr>
          <w:highlight w:val="white"/>
        </w:rPr>
      </w:pPr>
      <w:r w:rsidDel="00000000" w:rsidR="00000000" w:rsidRPr="00000000">
        <w:rPr>
          <w:highlight w:val="white"/>
          <w:rtl w:val="0"/>
        </w:rPr>
        <w:t xml:space="preserve">ALLEGATO C) “Dichiarazione di Insussistenza Cause Incompatibilità”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b w:val="1"/>
          <w:highlight w:val="whit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Oggetto: Dichiarazione di Insussistenza Cause Incompatibilità per la Procedura di Selezione di Docenti interni </w:t>
      </w:r>
      <w:r w:rsidDel="00000000" w:rsidR="00000000" w:rsidRPr="00000000">
        <w:rPr>
          <w:b w:val="1"/>
          <w:highlight w:val="white"/>
          <w:rtl w:val="0"/>
        </w:rPr>
        <w:t xml:space="preserve">– </w:t>
      </w:r>
      <w:r w:rsidDel="00000000" w:rsidR="00000000" w:rsidRPr="00000000">
        <w:rPr>
          <w:b w:val="1"/>
          <w:i w:val="1"/>
          <w:highlight w:val="white"/>
          <w:rtl w:val="0"/>
        </w:rPr>
        <w:t xml:space="preserve">Avviso di selezione prot. n.5127 del 3 Giugno 2024</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Avviso Pubblico D.M. 65/2023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PNRR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Missione 4 – Istruzione e Ricerca – Componente 1 – Potenziamento dell’offerta dei servizi all’istruzione: dagli asili nido all’Università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Investimento 3.1 “Nuove competenze e nuovi linguaggi” del Piano </w:t>
      </w:r>
      <w:r w:rsidDel="00000000" w:rsidR="00000000" w:rsidRPr="00000000">
        <w:rPr>
          <w:i w:val="1"/>
          <w:highlight w:val="white"/>
          <w:rtl w:val="0"/>
        </w:rPr>
        <w:t xml:space="preserve">N</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azionale di </w:t>
      </w:r>
      <w:r w:rsidDel="00000000" w:rsidR="00000000" w:rsidRPr="00000000">
        <w:rPr>
          <w:i w:val="1"/>
          <w:highlight w:val="white"/>
          <w:rtl w:val="0"/>
        </w:rPr>
        <w:t xml:space="preserve">R</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ipresa e </w:t>
      </w:r>
      <w:r w:rsidDel="00000000" w:rsidR="00000000" w:rsidRPr="00000000">
        <w:rPr>
          <w:i w:val="1"/>
          <w:highlight w:val="white"/>
          <w:rtl w:val="0"/>
        </w:rPr>
        <w:t xml:space="preserve">R</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esilienza, finanziato dall’Unione </w:t>
      </w:r>
      <w:r w:rsidDel="00000000" w:rsidR="00000000" w:rsidRPr="00000000">
        <w:rPr>
          <w:i w:val="1"/>
          <w:highlight w:val="white"/>
          <w:rtl w:val="0"/>
        </w:rPr>
        <w:t xml:space="preserve">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uropea – Next Generation EU</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CUP: </w:t>
      </w:r>
      <w:r w:rsidDel="00000000" w:rsidR="00000000" w:rsidRPr="00000000">
        <w:rPr>
          <w:b w:val="1"/>
          <w:i w:val="1"/>
          <w:smallCaps w:val="0"/>
          <w:strike w:val="0"/>
          <w:color w:val="000000"/>
          <w:sz w:val="24"/>
          <w:szCs w:val="24"/>
          <w:highlight w:val="white"/>
          <w:u w:val="none"/>
          <w:vertAlign w:val="baseline"/>
          <w:rtl w:val="0"/>
        </w:rPr>
        <w:t xml:space="preserve">F74D23003090006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b w:val="1"/>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Titolo progetto: </w:t>
      </w:r>
      <w:r w:rsidDel="00000000" w:rsidR="00000000" w:rsidRPr="00000000">
        <w:rPr>
          <w:b w:val="1"/>
          <w:i w:val="0"/>
          <w:smallCaps w:val="0"/>
          <w:strike w:val="0"/>
          <w:color w:val="000000"/>
          <w:sz w:val="24"/>
          <w:szCs w:val="24"/>
          <w:highlight w:val="white"/>
          <w:u w:val="none"/>
          <w:vertAlign w:val="baseline"/>
          <w:rtl w:val="0"/>
        </w:rPr>
        <w:t xml:space="preserve">METODOLOGIA STEM PER UNA DIDATTICA EFFICACE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b w:val="1"/>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Codice progetto: </w:t>
      </w:r>
      <w:r w:rsidDel="00000000" w:rsidR="00000000" w:rsidRPr="00000000">
        <w:rPr>
          <w:b w:val="1"/>
          <w:i w:val="0"/>
          <w:smallCaps w:val="0"/>
          <w:strike w:val="0"/>
          <w:color w:val="000000"/>
          <w:sz w:val="24"/>
          <w:szCs w:val="24"/>
          <w:highlight w:val="white"/>
          <w:u w:val="none"/>
          <w:vertAlign w:val="baseline"/>
          <w:rtl w:val="0"/>
        </w:rPr>
        <w:t xml:space="preserve">M4C1I3.1-2023-1143-P-31920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Il/La sottoscritto/a ________________________________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nato/a a ________________________________ (_____) il ___ - ___ - 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in servizio nell’a.s. 2023/20234 presso codesto Istituto in qualità di ________________________________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DICHIARA</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situazione di incompatibilità, ai sensi di quanto previsto dal </w:t>
      </w:r>
      <w:r w:rsidDel="00000000" w:rsidR="00000000" w:rsidRPr="00000000">
        <w:rPr>
          <w:highlight w:val="white"/>
          <w:rtl w:val="0"/>
        </w:rPr>
        <w:t xml:space="preserve">D</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w:t>
      </w:r>
      <w:r w:rsidDel="00000000" w:rsidR="00000000" w:rsidRPr="00000000">
        <w:rPr>
          <w:highlight w:val="white"/>
          <w:rtl w:val="0"/>
        </w:rPr>
        <w:t xml:space="preserve">L</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gs. n. 39/2013 e dall’art. 53, del </w:t>
      </w:r>
      <w:r w:rsidDel="00000000" w:rsidR="00000000" w:rsidRPr="00000000">
        <w:rPr>
          <w:highlight w:val="white"/>
          <w:rtl w:val="0"/>
        </w:rPr>
        <w:t xml:space="preserve">D</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w:t>
      </w:r>
      <w:r w:rsidDel="00000000" w:rsidR="00000000" w:rsidRPr="00000000">
        <w:rPr>
          <w:highlight w:val="white"/>
          <w:rtl w:val="0"/>
        </w:rPr>
        <w:t xml:space="preserve">L</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gs. n. 165/2001;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ovvero, nel caso in cui sussistano situazioni di incompatibilità, che le stesse sono le seguenti: _______________________________________________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situazioni di conflitto di interessi, anche potenziale, ai sensi dell’art. 53, comma 14, del </w:t>
      </w:r>
      <w:r w:rsidDel="00000000" w:rsidR="00000000" w:rsidRPr="00000000">
        <w:rPr>
          <w:highlight w:val="white"/>
          <w:rtl w:val="0"/>
        </w:rPr>
        <w:t xml:space="preserve">D</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w:t>
      </w:r>
      <w:r w:rsidDel="00000000" w:rsidR="00000000" w:rsidRPr="00000000">
        <w:rPr>
          <w:highlight w:val="white"/>
          <w:rtl w:val="0"/>
        </w:rPr>
        <w:t xml:space="preserve">L</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gs. n. 165/2001, che possano interferire con l’esercizio dell’incarico;</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aver preso piena cognizione del D.M. 26 </w:t>
      </w:r>
      <w:r w:rsidDel="00000000" w:rsidR="00000000" w:rsidRPr="00000000">
        <w:rPr>
          <w:highlight w:val="white"/>
          <w:rtl w:val="0"/>
        </w:rPr>
        <w:t xml:space="preserve">A</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prile 2022, n. 105, recante il Codice di Comportamento dei </w:t>
      </w:r>
      <w:r w:rsidDel="00000000" w:rsidR="00000000" w:rsidRPr="00000000">
        <w:rPr>
          <w:highlight w:val="white"/>
          <w:rtl w:val="0"/>
        </w:rPr>
        <w:t xml:space="preserve">D</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ipendenti del Ministero dell’</w:t>
      </w:r>
      <w:r w:rsidDel="00000000" w:rsidR="00000000" w:rsidRPr="00000000">
        <w:rPr>
          <w:highlight w:val="white"/>
          <w:rtl w:val="0"/>
        </w:rPr>
        <w:t xml:space="preserve">I</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struzione e del </w:t>
      </w:r>
      <w:r w:rsidDel="00000000" w:rsidR="00000000" w:rsidRPr="00000000">
        <w:rPr>
          <w:highlight w:val="white"/>
          <w:rtl w:val="0"/>
        </w:rPr>
        <w:t xml:space="preserve">M</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erito;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 comunicare tempestivamente all’Istituzione </w:t>
      </w:r>
      <w:r w:rsidDel="00000000" w:rsidR="00000000" w:rsidRPr="00000000">
        <w:rPr>
          <w:highlight w:val="white"/>
          <w:rtl w:val="0"/>
        </w:rPr>
        <w:t xml:space="preserve">S</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colastica conferente eventuali variazioni che dovessero intervenire nel corso dello svolgimento dell’incarico;</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altresì a comunicare all’Istituzione </w:t>
      </w:r>
      <w:r w:rsidDel="00000000" w:rsidR="00000000" w:rsidRPr="00000000">
        <w:rPr>
          <w:highlight w:val="white"/>
          <w:rtl w:val="0"/>
        </w:rPr>
        <w:t xml:space="preserve">S</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colastica qualsiasi altra circostanza sopravvenuta di carattere ostativo rispetto all’espletamento dell’incarico;</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stato informato/a, ai sensi dell’art. 13 del Regolamento (UE) 2016/679 del Parlamento </w:t>
      </w:r>
      <w:r w:rsidDel="00000000" w:rsidR="00000000" w:rsidRPr="00000000">
        <w:rPr>
          <w:highlight w:val="white"/>
          <w:rtl w:val="0"/>
        </w:rPr>
        <w:t xml:space="preserve">E</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uropeo e del Consiglio del 27 </w:t>
      </w:r>
      <w:r w:rsidDel="00000000" w:rsidR="00000000" w:rsidRPr="00000000">
        <w:rPr>
          <w:highlight w:val="white"/>
          <w:rtl w:val="0"/>
        </w:rPr>
        <w:t xml:space="preserve">A</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prile 2016 e del </w:t>
      </w:r>
      <w:r w:rsidDel="00000000" w:rsidR="00000000" w:rsidRPr="00000000">
        <w:rPr>
          <w:highlight w:val="white"/>
          <w:rtl w:val="0"/>
        </w:rPr>
        <w:t xml:space="preserve">D</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ecreto </w:t>
      </w:r>
      <w:r w:rsidDel="00000000" w:rsidR="00000000" w:rsidRPr="00000000">
        <w:rPr>
          <w:highlight w:val="white"/>
          <w:rtl w:val="0"/>
        </w:rPr>
        <w:t xml:space="preserve">L</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egislativo 30 </w:t>
      </w:r>
      <w:r w:rsidDel="00000000" w:rsidR="00000000" w:rsidRPr="00000000">
        <w:rPr>
          <w:highlight w:val="white"/>
          <w:rtl w:val="0"/>
        </w:rPr>
        <w:t xml:space="preserve">G</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Luogo ____________________ , data 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highlight w:val="whit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Firma ________________________________</w:t>
      </w: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0"/>
      <w:bidi w:val="0"/>
    </w:pPr>
    <w:rPr>
      <w:rFonts w:ascii="Liberation Serif" w:cs="Noto Sans Devanagari" w:eastAsia="DejaVu Sans" w:hAnsi="Liberation Serif"/>
      <w:color w:val="auto"/>
      <w:sz w:val="24"/>
      <w:szCs w:val="24"/>
      <w:lang w:bidi="hi-IN" w:eastAsia="zh-CN" w:val="en-US"/>
    </w:rPr>
  </w:style>
  <w:style w:type="paragraph" w:styleId="Heading3">
    <w:name w:val="Heading 3"/>
    <w:basedOn w:val="Heading"/>
    <w:next w:val="TextBody"/>
    <w:qFormat w:val="1"/>
    <w:pPr>
      <w:spacing w:after="120" w:before="140"/>
      <w:outlineLvl w:val="2"/>
    </w:pPr>
    <w:rPr>
      <w:rFonts w:ascii="Liberation Serif" w:cs="Noto Sans Devanagari" w:eastAsia="DejaVu Sans" w:hAnsi="Liberation Serif"/>
      <w:b w:val="1"/>
      <w:bCs w:val="1"/>
      <w:sz w:val="28"/>
      <w:szCs w:val="28"/>
    </w:rPr>
  </w:style>
  <w:style w:type="character" w:styleId="StrongEmphasis">
    <w:name w:val="Strong Emphasis"/>
    <w:qFormat w:val="1"/>
    <w:rPr>
      <w:b w:val="1"/>
      <w:bCs w:val="1"/>
    </w:rPr>
  </w:style>
  <w:style w:type="character" w:styleId="Emphasis">
    <w:name w:val="Emphasis"/>
    <w:qFormat w:val="1"/>
    <w:rPr>
      <w:i w:val="1"/>
      <w:iCs w:val="1"/>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Noto Sans Devanagari" w:eastAsia="DejaVu Sans"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lang w:bidi="zxx" w:eastAsia="zxx" w:val="zx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f3bnhBGKtZ8yxF2oMf5bsI0Cw==">CgMxLjA4AHIhMUhXRFVpQlRmWFdQYk9yZ1ZiZE9uOVpheGNTaWFfYnB3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