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0" w:lineRule="auto"/>
        <w:ind w:left="567" w:right="567" w:firstLine="0"/>
        <w:jc w:val="center"/>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i w:val="1"/>
          <w:highlight w:val="whit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NUOVO Avviso di Selezione di Docenti interni all’Istituto Scolastico “Istituto Comprensivo di Castel Maggiore” per la realizzazione di n. 20</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“Laboratori di formazione sul campo”</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 nell’ambito delle Azioni di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“Formazione del personale scolastico per la transizione digitale” di cui al Decreto del Ministro dell’Istruzione n. 66 del 12 </w:t>
      </w:r>
      <w:r w:rsidDel="00000000" w:rsidR="00000000" w:rsidRPr="00000000">
        <w:rPr>
          <w:i w:val="1"/>
          <w:highlight w:val="white"/>
          <w:rtl w:val="0"/>
        </w:rPr>
        <w:t xml:space="preserve">A</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prile 2023</w:t>
      </w:r>
      <w:r w:rsidDel="00000000" w:rsidR="00000000" w:rsidRPr="00000000">
        <w:rPr>
          <w:i w:val="1"/>
          <w:highlight w:val="white"/>
          <w:rtl w:val="0"/>
        </w:rPr>
        <w:t xml:space="preserve"> </w:t>
      </w:r>
      <w:r w:rsidDel="00000000" w:rsidR="00000000" w:rsidRPr="00000000">
        <w:rPr>
          <w:b w:val="1"/>
          <w:i w:val="1"/>
          <w:highlight w:val="white"/>
          <w:rtl w:val="0"/>
        </w:rPr>
        <w:t xml:space="preserve">– Avviso di selezione prot. n.9102 del 9 Novembre 2024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D.M. 66/2023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PNRR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Missione 4 – Istruzione e Ricerca – Componente 1 – Potenziamento dell’offerta dei servizi all’istruzione: dagli asili nido all’Università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Investimento 2.1 “Didattica digitale integrata e formazione alla transizione digitale per il personale scolastico” del Piano </w:t>
      </w:r>
      <w:r w:rsidDel="00000000" w:rsidR="00000000" w:rsidRPr="00000000">
        <w:rPr>
          <w:i w:val="1"/>
          <w:highlight w:val="white"/>
          <w:rtl w:val="0"/>
        </w:rPr>
        <w:t xml:space="preserve">N</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azionale di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ipresa e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esilienza, finanziato dall’Unione </w:t>
      </w:r>
      <w:r w:rsidDel="00000000" w:rsidR="00000000" w:rsidRPr="00000000">
        <w:rPr>
          <w:i w:val="1"/>
          <w:highlight w:val="white"/>
          <w:rtl w:val="0"/>
        </w:rPr>
        <w:t xml:space="preserve">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r w:rsidDel="00000000" w:rsidR="00000000" w:rsidRPr="00000000">
        <w:rPr>
          <w:b w:val="1"/>
          <w:i w:val="1"/>
          <w:smallCaps w:val="0"/>
          <w:strike w:val="0"/>
          <w:color w:val="000000"/>
          <w:sz w:val="24"/>
          <w:szCs w:val="24"/>
          <w:highlight w:val="white"/>
          <w:u w:val="none"/>
          <w:vertAlign w:val="baseline"/>
          <w:rtl w:val="0"/>
        </w:rPr>
        <w:t xml:space="preserve">F74D23003740006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r w:rsidDel="00000000" w:rsidR="00000000" w:rsidRPr="00000000">
        <w:rPr>
          <w:b w:val="1"/>
          <w:i w:val="0"/>
          <w:smallCaps w:val="0"/>
          <w:strike w:val="0"/>
          <w:color w:val="000000"/>
          <w:sz w:val="24"/>
          <w:szCs w:val="24"/>
          <w:highlight w:val="white"/>
          <w:u w:val="none"/>
          <w:vertAlign w:val="baseline"/>
          <w:rtl w:val="0"/>
        </w:rPr>
        <w:t xml:space="preserve">LA SCUOLA VERSO LA TRANSIZIONE DIGITALE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r w:rsidDel="00000000" w:rsidR="00000000" w:rsidRPr="00000000">
        <w:rPr>
          <w:b w:val="1"/>
          <w:i w:val="0"/>
          <w:smallCaps w:val="0"/>
          <w:strike w:val="0"/>
          <w:color w:val="000000"/>
          <w:sz w:val="24"/>
          <w:szCs w:val="24"/>
          <w:highlight w:val="white"/>
          <w:u w:val="none"/>
          <w:vertAlign w:val="baseline"/>
          <w:rtl w:val="0"/>
        </w:rPr>
        <w:t xml:space="preserve">M4C1I2.1-2023-1222-P-39652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nato/a a ________________________________ (_____) il ___ - ___ - ______ in servizio nell’a.s. 202</w:t>
      </w:r>
      <w:r w:rsidDel="00000000" w:rsidR="00000000" w:rsidRPr="00000000">
        <w:rPr>
          <w:highlight w:val="white"/>
          <w:rtl w:val="0"/>
        </w:rPr>
        <w:t xml:space="preserve">4–</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5</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presso codesto Istituto in qualità di 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gs. n. 165/2001, che possano interferire con l’esercizio dell’incarico;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2022, n. 105, recante il Codice di Comportamento dei dipendenti del Ministero dell’</w:t>
      </w:r>
      <w:r w:rsidDel="00000000" w:rsidR="00000000" w:rsidRPr="00000000">
        <w:rPr>
          <w:highlight w:val="white"/>
          <w:rtl w:val="0"/>
        </w:rPr>
        <w:t xml:space="preserve">I</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struzione e del </w:t>
      </w:r>
      <w:r w:rsidDel="00000000" w:rsidR="00000000" w:rsidRPr="00000000">
        <w:rPr>
          <w:highlight w:val="white"/>
          <w:rtl w:val="0"/>
        </w:rPr>
        <w:t xml:space="preserve">M</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erito;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conferente eventuali variazioni che dovessero intervenire nel corso dello svolgimento dell’incarico;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qualsiasi altra circostanza sopravvenuta di carattere ostativo rispetto all’espletamento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w:t>
      </w:r>
      <w:r w:rsidDel="00000000" w:rsidR="00000000" w:rsidRPr="00000000">
        <w:rPr>
          <w:highlight w:val="white"/>
          <w:rtl w:val="0"/>
        </w:rPr>
        <w:t xml:space="preserve">E</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uropeo e del Consiglio del 27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2016 e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ecreto </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egislativo 30 </w:t>
      </w:r>
      <w:r w:rsidDel="00000000" w:rsidR="00000000" w:rsidRPr="00000000">
        <w:rPr>
          <w:highlight w:val="white"/>
          <w:rtl w:val="0"/>
        </w:rPr>
        <w:t xml:space="preserve">G</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ApqJj4/CPOCVIyFp6bfMbixmw==">CgMxLjA4AHIhMXJObVdhN2FhRzUtME5VSl9QT0N6ZnJIQUNmVjBnQWpW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