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108" w:right="0" w:hanging="108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Cognome e nome del candidato: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108" w:right="0" w:hanging="108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essere docente interno per tutto il periodo dell’incarico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  <w:sectPr>
          <w:headerReference r:id="rId6" w:type="default"/>
          <w:footerReference r:id="rId7" w:type="default"/>
          <w:pgSz w:h="16840" w:w="11900" w:orient="portrait"/>
          <w:pgMar w:bottom="720" w:top="720" w:left="720" w:right="720" w:header="709" w:footer="8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Candidatura Gruppo di lavoro Linea 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ind w:left="720" w:hanging="360"/>
        <w:rPr>
          <w:rFonts w:ascii="Calibri" w:cs="Calibri" w:eastAsia="Calibri" w:hAnsi="Calibri"/>
          <w:b w:val="1"/>
        </w:rPr>
        <w:sectPr>
          <w:type w:val="continuous"/>
          <w:pgSz w:h="16840" w:w="11900" w:orient="portrait"/>
          <w:pgMar w:bottom="720" w:top="720" w:left="720" w:right="720" w:header="709" w:footer="850"/>
          <w:cols w:equalWidth="0" w:num="2">
            <w:col w:space="720" w:w="4872.74"/>
            <w:col w:space="0" w:w="4872.74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Candidatura Gruppo di lavoro Linea B</w:t>
      </w:r>
    </w:p>
    <w:p w:rsidR="00000000" w:rsidDel="00000000" w:rsidP="00000000" w:rsidRDefault="00000000" w:rsidRPr="00000000" w14:paraId="0000000A">
      <w:pPr>
        <w:widowControl w:val="0"/>
        <w:spacing w:before="2" w:line="242" w:lineRule="auto"/>
        <w:ind w:left="100" w:right="103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110.0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345"/>
        <w:gridCol w:w="6180"/>
        <w:gridCol w:w="1545"/>
        <w:gridCol w:w="1125"/>
        <w:gridCol w:w="1260"/>
        <w:tblGridChange w:id="0">
          <w:tblGrid>
            <w:gridCol w:w="345"/>
            <w:gridCol w:w="6180"/>
            <w:gridCol w:w="1545"/>
            <w:gridCol w:w="1125"/>
            <w:gridCol w:w="12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2927"/>
              </w:tabs>
              <w:spacing w:before="79" w:lineRule="auto"/>
              <w:ind w:left="44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  <w:tab/>
              <w:t xml:space="preserve">TITOLI DI STUDIO (fino ad un massimo di 30 punti)</w:t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before="79" w:line="246.99999999999994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 a cura del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before="79" w:line="246.99999999999994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Spazio riservato alla Commissione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before="79" w:lineRule="auto"/>
              <w:ind w:right="77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Vecchio Ordinamento o equiparata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Votazione fino a 104/110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Votazione da 105/110 a 109/110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Votazione 110/110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Votazione 110/110 con lode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before="79" w:lineRule="auto"/>
              <w:ind w:right="77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before="79" w:line="246.99999999999994" w:lineRule="auto"/>
              <w:ind w:left="85" w:right="18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triennale (non cumulabile con Laurea V.O. o equiparata – si valuta un solo titolo)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before="79" w:lineRule="auto"/>
              <w:ind w:right="77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79" w:line="246.99999999999994" w:lineRule="auto"/>
              <w:ind w:left="85" w:right="18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Istruzione superiore (non cumulabile con Laurea – si valuta un solo titolo)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before="79" w:lineRule="auto"/>
              <w:ind w:right="77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before="79" w:line="246.99999999999994" w:lineRule="auto"/>
              <w:ind w:left="85" w:right="72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Specializzazioni, diplomi di perfezionamento post-laurea, master, (tutti di durata non inferiore ad un anno e rilasciati da Università statali e non statali corrispondenti a 1500 ore o 60 crediti ) pertinenti con l’indirizzo specifico del percorso (STEM o Lingue)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before="79" w:line="246.99999999999994" w:lineRule="auto"/>
              <w:ind w:left="125" w:right="111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5 fino ad un massimo di 10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before="79" w:lineRule="auto"/>
              <w:ind w:right="77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before="79" w:line="246.99999999999994" w:lineRule="auto"/>
              <w:ind w:left="85" w:right="72" w:firstLine="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Dottorato di ricerca, Specializzazioni, diplomi di perfezionamento post-laurea, master, (tutti di durata biennale e rilasciati da Università statali e non statali corrispondenti a 1500 ore o 60 crediti per ogni annualità ) pertinenti con l’indirizzo specifico del percorso (STEM o Lingue)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(non si valutano i titoli SISS e TFA e il titolo di specializzazione per il sostegno).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4" w:lineRule="auto"/>
              <w:ind w:left="8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si valuta un solo titolo)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before="79" w:line="246.99999999999994" w:lineRule="auto"/>
              <w:ind w:left="125" w:right="111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5 fino ad un massimo di 10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A)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2272"/>
              </w:tabs>
              <w:spacing w:before="79" w:lineRule="auto"/>
              <w:ind w:left="442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  <w:tab/>
              <w:t xml:space="preserve">TITOLI DIDATTICI CULTURALI (fino ad un massimo di 20 punti)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before="79" w:line="249" w:lineRule="auto"/>
              <w:ind w:left="85" w:right="183"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Certificazioni informatiche: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ECDL, Microsoft Office Specialist, IC3, MCAS, ICL, P.E.K.I.T. ,EIPASS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si valutano max due certificazioni)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before="79" w:lineRule="auto"/>
              <w:ind w:left="85" w:right="183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2291"/>
              </w:tabs>
              <w:spacing w:before="79" w:lineRule="auto"/>
              <w:ind w:left="44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ESPERIENZE PROFESSIONALI (fino ad un massimo di 75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before="79" w:lineRule="auto"/>
              <w:ind w:left="85" w:right="18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before="79" w:lineRule="auto"/>
              <w:ind w:left="349" w:right="6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before="79" w:line="246.99999999999994" w:lineRule="auto"/>
              <w:ind w:left="15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 a cura del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before="79" w:line="246.99999999999994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Spazio riservato alla Commissione</w:t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before="79" w:line="246.99999999999994" w:lineRule="auto"/>
              <w:ind w:left="85" w:right="18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pregresse maturate nell’ambito di progetti PON,POR… in qualità di tutor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before="79" w:line="246.99999999999994" w:lineRule="auto"/>
              <w:ind w:left="79" w:right="6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3 fino ad un max di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before="79" w:line="246.99999999999994" w:lineRule="auto"/>
              <w:ind w:left="85" w:right="18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pregresse maturate nell’ambito di progetti PON,POR… in qualità di esperto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before="79" w:line="246.99999999999994" w:lineRule="auto"/>
              <w:ind w:left="79" w:right="6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5 fino ad un max di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C3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before="79" w:lineRule="auto"/>
              <w:ind w:left="85" w:right="18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maturata nel team di progettazione di progetti PNRR (10 punti ad incarico, massimo 20 punti)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before="79" w:line="246.99999999999994" w:lineRule="auto"/>
              <w:ind w:left="79" w:right="65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10 fino ad un max di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C4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before="79" w:lineRule="auto"/>
              <w:ind w:left="85" w:right="183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Incarico di Animatore digitale o di membro del Team di innovazione digitale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before="79" w:lineRule="auto"/>
              <w:ind w:left="141.7322834645671" w:right="68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 per</w:t>
            </w:r>
          </w:p>
          <w:p w:rsidR="00000000" w:rsidDel="00000000" w:rsidP="00000000" w:rsidRDefault="00000000" w:rsidRPr="00000000" w14:paraId="00000073">
            <w:pPr>
              <w:widowControl w:val="0"/>
              <w:spacing w:before="7" w:line="246.99999999999994" w:lineRule="auto"/>
              <w:ind w:left="141.7322834645671" w:right="161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a.s. fino ad un max di 10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C5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Incarico  di </w:t>
            </w:r>
          </w:p>
          <w:p w:rsidR="00000000" w:rsidDel="00000000" w:rsidP="00000000" w:rsidRDefault="00000000" w:rsidRPr="00000000" w14:paraId="00000078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Collaboratore del DS,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Responsabile di sede,</w:t>
            </w:r>
          </w:p>
          <w:p w:rsidR="00000000" w:rsidDel="00000000" w:rsidP="00000000" w:rsidRDefault="00000000" w:rsidRPr="00000000" w14:paraId="0000007C">
            <w:pPr>
              <w:widowControl w:val="0"/>
              <w:spacing w:before="79" w:lineRule="auto"/>
              <w:ind w:left="8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Funzione strumentale.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before="79" w:lineRule="auto"/>
              <w:ind w:left="141.7322834645671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 ogni anno e  fino a un max di 10 pti: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79" w:lineRule="auto"/>
              <w:ind w:left="141.7322834645671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 </w:t>
            </w:r>
          </w:p>
          <w:p w:rsidR="00000000" w:rsidDel="00000000" w:rsidP="00000000" w:rsidRDefault="00000000" w:rsidRPr="00000000" w14:paraId="0000007F">
            <w:pPr>
              <w:widowControl w:val="0"/>
              <w:spacing w:before="79" w:lineRule="auto"/>
              <w:ind w:left="141.7322834645671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 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79" w:lineRule="auto"/>
              <w:ind w:left="141.7322834645671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before="79" w:lineRule="auto"/>
              <w:ind w:left="85" w:right="183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A+B+C 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before="79" w:lineRule="auto"/>
              <w:ind w:left="79" w:right="68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after="1" w:before="71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108" w:right="0" w:hanging="10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</w:p>
    <w:sectPr>
      <w:type w:val="continuous"/>
      <w:pgSz w:h="16840" w:w="11900" w:orient="portrait"/>
      <w:pgMar w:bottom="720" w:top="720" w:left="720" w:right="720" w:header="709" w:footer="85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641973" cy="280505"/>
          <wp:effectExtent b="0" l="0" r="0" t="0"/>
          <wp:docPr descr="Immagine 1" id="1" name="image1.png"/>
          <a:graphic>
            <a:graphicData uri="http://schemas.openxmlformats.org/drawingml/2006/picture">
              <pic:pic>
                <pic:nvPicPr>
                  <pic:cNvPr descr="Immagine 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