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B1E0" w14:textId="62C3F6E7" w:rsidR="003C3528" w:rsidRDefault="00DC76C0">
      <w:r w:rsidRPr="00DC76C0">
        <w:t>STATUTI E LEGGI REGIONALI - la presente sottosezione non è di pertinenza dell'istituzione scolastica, in quanto l'organizzazione e le funzioni delle istituzioni scolastiche statali sono disciplinate da normativa statale</w:t>
      </w:r>
    </w:p>
    <w:sectPr w:rsidR="003C35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C0"/>
    <w:rsid w:val="002C73B7"/>
    <w:rsid w:val="003C3528"/>
    <w:rsid w:val="00DC76C0"/>
    <w:rsid w:val="00ED3B6E"/>
    <w:rsid w:val="00F3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D25D"/>
  <w15:chartTrackingRefBased/>
  <w15:docId w15:val="{3EB26D3B-7CAA-45A3-8E13-46DC48B8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6C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6C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6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6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6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6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7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6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76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76C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6C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7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Capitani</dc:creator>
  <cp:keywords/>
  <dc:description/>
  <cp:lastModifiedBy>Monia Capitani</cp:lastModifiedBy>
  <cp:revision>1</cp:revision>
  <dcterms:created xsi:type="dcterms:W3CDTF">2026-06-10T08:13:00Z</dcterms:created>
  <dcterms:modified xsi:type="dcterms:W3CDTF">2026-06-10T08:14:00Z</dcterms:modified>
</cp:coreProperties>
</file>