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00AA" w:rsidRDefault="00A000A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0591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91"/>
      </w:tblGrid>
      <w:tr w:rsidR="00A000AA">
        <w:trPr>
          <w:jc w:val="center"/>
        </w:trPr>
        <w:tc>
          <w:tcPr>
            <w:tcW w:w="105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00AA" w:rsidRDefault="00005A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ANALISI PROGRAMMA ANNUALE</w:t>
            </w:r>
          </w:p>
        </w:tc>
      </w:tr>
      <w:tr w:rsidR="00A000AA">
        <w:trPr>
          <w:jc w:val="center"/>
        </w:trPr>
        <w:tc>
          <w:tcPr>
            <w:tcW w:w="105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00AA" w:rsidRDefault="00A000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000AA">
        <w:trPr>
          <w:jc w:val="center"/>
        </w:trPr>
        <w:tc>
          <w:tcPr>
            <w:tcW w:w="105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00AA" w:rsidRDefault="00005A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VERBALE N. 2023/001</w:t>
            </w:r>
          </w:p>
          <w:p w:rsidR="00A000AA" w:rsidRDefault="00A000A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00AA">
        <w:trPr>
          <w:jc w:val="center"/>
        </w:trPr>
        <w:tc>
          <w:tcPr>
            <w:tcW w:w="105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00AA" w:rsidRDefault="00005A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Presso l'istituto comprensivo di Argelato, l'anno 2023 il giorno ........., del mese di ........., alle ore ......................., si sono riuniti i Revisori dei Conti dell'ambito ........................</w:t>
            </w:r>
          </w:p>
        </w:tc>
      </w:tr>
      <w:tr w:rsidR="00A000AA">
        <w:trPr>
          <w:jc w:val="center"/>
        </w:trPr>
        <w:tc>
          <w:tcPr>
            <w:tcW w:w="105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00AA" w:rsidRDefault="00005A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 riunione si svolge presso ........................</w:t>
            </w:r>
          </w:p>
        </w:tc>
      </w:tr>
      <w:tr w:rsidR="00A000AA">
        <w:trPr>
          <w:jc w:val="center"/>
        </w:trPr>
        <w:tc>
          <w:tcPr>
            <w:tcW w:w="105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00AA" w:rsidRDefault="00A000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000AA" w:rsidRDefault="00005A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 Revisori sono:</w:t>
            </w:r>
          </w:p>
          <w:p w:rsidR="00A000AA" w:rsidRDefault="00005A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A000AA" w:rsidRDefault="00A000A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0"/>
        <w:tblW w:w="10591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47"/>
        <w:gridCol w:w="2648"/>
        <w:gridCol w:w="2648"/>
        <w:gridCol w:w="2648"/>
      </w:tblGrid>
      <w:tr w:rsidR="00A000AA">
        <w:trPr>
          <w:tblHeader/>
          <w:jc w:val="center"/>
        </w:trPr>
        <w:tc>
          <w:tcPr>
            <w:tcW w:w="26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000AA" w:rsidRDefault="00005A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Nome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000AA" w:rsidRDefault="00005A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Cognome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000AA" w:rsidRDefault="00005A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Rappresentanza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000AA" w:rsidRDefault="00005A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Assenza/Presenza </w:t>
            </w:r>
          </w:p>
        </w:tc>
      </w:tr>
      <w:tr w:rsidR="00A000AA">
        <w:trPr>
          <w:tblHeader/>
          <w:jc w:val="center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00AA" w:rsidRDefault="00005A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.........................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00AA" w:rsidRDefault="00005A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.........................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00AA" w:rsidRDefault="00005A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Ministero dell'Economia e delle Finanze (MEF)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00AA" w:rsidRDefault="00005A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Presente</w:t>
            </w:r>
          </w:p>
        </w:tc>
      </w:tr>
      <w:tr w:rsidR="00A000AA">
        <w:trPr>
          <w:jc w:val="center"/>
        </w:trPr>
        <w:tc>
          <w:tcPr>
            <w:tcW w:w="26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000AA" w:rsidRDefault="00005A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Marina 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000AA" w:rsidRDefault="00005A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Falzoni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000AA" w:rsidRDefault="00005A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Ministero dell'Istruzione, dell'Università e della Ricerca (MIUR)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000AA" w:rsidRDefault="00005A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Presente</w:t>
            </w:r>
          </w:p>
        </w:tc>
      </w:tr>
    </w:tbl>
    <w:p w:rsidR="00A000AA" w:rsidRDefault="00A000A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A000AA" w:rsidRDefault="00A000A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000AA" w:rsidRDefault="00005A6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..................................................</w:t>
      </w:r>
    </w:p>
    <w:tbl>
      <w:tblPr>
        <w:tblStyle w:val="a1"/>
        <w:tblW w:w="10591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91"/>
      </w:tblGrid>
      <w:tr w:rsidR="00A000AA">
        <w:trPr>
          <w:jc w:val="center"/>
        </w:trPr>
        <w:tc>
          <w:tcPr>
            <w:tcW w:w="105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00AA" w:rsidRDefault="00A000A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000AA" w:rsidRDefault="00005A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 Revisori si riuniscono per l'esame del Programma annuale 2023 ai sensi dell'art. 51, comma 1 del Regolamento amministrativo-contabile recato dal D.I. 28 agosto 2018, n. 129 e procedono, pertanto, allo svolgimento dei seguenti controlli:</w:t>
            </w:r>
          </w:p>
        </w:tc>
      </w:tr>
    </w:tbl>
    <w:p w:rsidR="00A000AA" w:rsidRDefault="00A000A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A000AA" w:rsidRDefault="00A000A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A000AA" w:rsidRDefault="00005A6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Anagrafica</w:t>
      </w:r>
    </w:p>
    <w:p w:rsidR="00A000AA" w:rsidRDefault="00005A60">
      <w:pPr>
        <w:widowControl w:val="0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Osservanza norme regolamentari</w:t>
      </w:r>
    </w:p>
    <w:p w:rsidR="00A000AA" w:rsidRDefault="00A000A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A000AA" w:rsidRDefault="00005A6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Programma Annuale 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Mod</w:t>
      </w:r>
      <w:proofErr w:type="spellEnd"/>
      <w:r>
        <w:rPr>
          <w:rFonts w:ascii="Times New Roman" w:eastAsia="Times New Roman" w:hAnsi="Times New Roman" w:cs="Times New Roman"/>
          <w:color w:val="000000"/>
        </w:rPr>
        <w:t>. A)</w:t>
      </w:r>
    </w:p>
    <w:p w:rsidR="00A000AA" w:rsidRDefault="00005A60">
      <w:pPr>
        <w:widowControl w:val="0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Esame relazione illustrativa predisposta dal dirigente scolastico</w:t>
      </w:r>
    </w:p>
    <w:p w:rsidR="00A000AA" w:rsidRDefault="00005A60">
      <w:pPr>
        <w:widowControl w:val="0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Correttezza modelli</w:t>
      </w:r>
    </w:p>
    <w:p w:rsidR="00A000AA" w:rsidRDefault="00005A60">
      <w:pPr>
        <w:widowControl w:val="0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Conformità ai principi di bilancio di cui all'art. 2 del regolamento</w:t>
      </w:r>
    </w:p>
    <w:p w:rsidR="00A000AA" w:rsidRDefault="00005A60">
      <w:pPr>
        <w:widowControl w:val="0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Corretta stima dell'avanzo di amministrazione</w:t>
      </w:r>
    </w:p>
    <w:p w:rsidR="00A000AA" w:rsidRDefault="00005A60">
      <w:pPr>
        <w:widowControl w:val="0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Coerenza tra i dati previsionali di spesa del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Mod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. A e la somma dei dati delle schede finanziarie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Mod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. B</w:t>
      </w:r>
    </w:p>
    <w:p w:rsidR="00A000AA" w:rsidRDefault="00005A60">
      <w:pPr>
        <w:widowControl w:val="0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Pareggio Entrate/Spese per attività e progetti</w:t>
      </w:r>
    </w:p>
    <w:p w:rsidR="00A000AA" w:rsidRDefault="00005A60">
      <w:pPr>
        <w:widowControl w:val="0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Esatta determinazione del Fondo di riserva (art. 8, comma 1)</w:t>
      </w:r>
    </w:p>
    <w:p w:rsidR="00A000AA" w:rsidRDefault="00005A60">
      <w:pPr>
        <w:widowControl w:val="0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Attendibilità delle previsioni di entrata e congruità degli stanziamenti di spesa</w:t>
      </w:r>
    </w:p>
    <w:p w:rsidR="00A000AA" w:rsidRDefault="00005A60">
      <w:pPr>
        <w:widowControl w:val="0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Verifica Approvazione PTOF</w:t>
      </w:r>
    </w:p>
    <w:p w:rsidR="00A000AA" w:rsidRDefault="00005A60">
      <w:pPr>
        <w:widowControl w:val="0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Individuazione dell'ammontare del Fondo economale per le minute spese ai sensi dell'art. 21 del regolamento</w:t>
      </w:r>
    </w:p>
    <w:p w:rsidR="00A000AA" w:rsidRDefault="00A000A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A000AA" w:rsidRDefault="00005A6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Utilizzo avanzo di amministrazione presunto 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Mod</w:t>
      </w:r>
      <w:proofErr w:type="spellEnd"/>
      <w:r>
        <w:rPr>
          <w:rFonts w:ascii="Times New Roman" w:eastAsia="Times New Roman" w:hAnsi="Times New Roman" w:cs="Times New Roman"/>
          <w:color w:val="000000"/>
        </w:rPr>
        <w:t>. D)</w:t>
      </w:r>
    </w:p>
    <w:p w:rsidR="00A000AA" w:rsidRDefault="00005A60">
      <w:pPr>
        <w:widowControl w:val="0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Rispetto del vincolo di destinazione delle somme vincolate confluite nell'avanzo di amministrazione presunto</w:t>
      </w:r>
    </w:p>
    <w:p w:rsidR="00A000AA" w:rsidRDefault="00A000A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000AA" w:rsidRDefault="00005A6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Dati Generali Scuola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Infanzia  -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Data di riferimento: 31 ottobre</w:t>
      </w:r>
    </w:p>
    <w:p w:rsidR="00A000AA" w:rsidRDefault="00005A6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La struttura delle classi per l'anno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scolastico  è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la seguente:</w:t>
      </w:r>
    </w:p>
    <w:tbl>
      <w:tblPr>
        <w:tblStyle w:val="a2"/>
        <w:tblW w:w="10591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65"/>
        <w:gridCol w:w="1165"/>
        <w:gridCol w:w="1165"/>
        <w:gridCol w:w="1165"/>
        <w:gridCol w:w="1165"/>
        <w:gridCol w:w="1165"/>
        <w:gridCol w:w="1165"/>
        <w:gridCol w:w="1165"/>
        <w:gridCol w:w="1271"/>
      </w:tblGrid>
      <w:tr w:rsidR="00A000AA">
        <w:trPr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Numero sezioni con orario ridotto (a)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Numero sezioni con orario normale (b)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Totale sezioni (c=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a+b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)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Bambini iscritti al 1° settembre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Bambini frequentanti sezioni con orario ridotto (d)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Bambini frequentanti sezioni con orario normale (e)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Totale bambini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frequentanti  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f=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d+e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)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Di cui diversamente abili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Media bambini per sezione (f/c)</w:t>
            </w:r>
          </w:p>
        </w:tc>
      </w:tr>
      <w:tr w:rsidR="00A000AA">
        <w:trPr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169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161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161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20,12</w:t>
            </w:r>
          </w:p>
        </w:tc>
      </w:tr>
    </w:tbl>
    <w:p w:rsidR="00A000AA" w:rsidRDefault="00A000A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A000AA" w:rsidRDefault="00A000A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000AA" w:rsidRDefault="00005A6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..................................................</w:t>
      </w:r>
    </w:p>
    <w:p w:rsidR="00A000AA" w:rsidRDefault="00A000A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000AA" w:rsidRDefault="00005A6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Dati Generali Scuola Primaria e Secondaria di I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Grado  -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Data di riferimento: 31 ottobre</w:t>
      </w:r>
    </w:p>
    <w:p w:rsidR="00A000AA" w:rsidRDefault="00005A6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La struttura delle classi per l'anno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scolastico  è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la seguente:</w:t>
      </w:r>
    </w:p>
    <w:tbl>
      <w:tblPr>
        <w:tblStyle w:val="a3"/>
        <w:tblW w:w="10591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4"/>
        <w:gridCol w:w="848"/>
        <w:gridCol w:w="848"/>
        <w:gridCol w:w="848"/>
        <w:gridCol w:w="847"/>
        <w:gridCol w:w="847"/>
        <w:gridCol w:w="847"/>
        <w:gridCol w:w="847"/>
        <w:gridCol w:w="741"/>
        <w:gridCol w:w="741"/>
        <w:gridCol w:w="741"/>
        <w:gridCol w:w="741"/>
        <w:gridCol w:w="741"/>
      </w:tblGrid>
      <w:tr w:rsidR="00A000AA">
        <w:trPr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A000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Numero classi funzionanti con 24 ore (a)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Numero classi funzionanti a tempo normale (da 27 a 30/34 ore) (b)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Numero classi funzionanti a tempo pieno/prolungato (40/36 ore) (c)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Totale classi (d=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a+b+c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)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Alunni iscritti al 1° settembre (e)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Alunni frequentanti classi funzionanti con 24 ore (f)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Alunni frequentanti classi funzionanti a tempo normale (da 27 a 30/34 ore) (g)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Alunni frequentanti classi funzionanti a tempo pieno/prolungato (40/36 ore) (h)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Totale alunni frequentanti (i=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f+g+h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Di cui diversamente abili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Differenza tra alunni iscritti al 1° settembre e alunni frequentanti (l=e-i)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Media alunni per classe (i/d)</w:t>
            </w:r>
          </w:p>
        </w:tc>
      </w:tr>
      <w:tr w:rsidR="00A000AA">
        <w:trPr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Prime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20,25</w:t>
            </w:r>
          </w:p>
        </w:tc>
      </w:tr>
      <w:tr w:rsidR="00A000AA">
        <w:trPr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Seconde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</w:tr>
      <w:tr w:rsidR="00A000AA">
        <w:trPr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Terze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16,6</w:t>
            </w:r>
          </w:p>
        </w:tc>
      </w:tr>
      <w:tr w:rsidR="00A000AA">
        <w:trPr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Quarte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21,75</w:t>
            </w:r>
          </w:p>
        </w:tc>
      </w:tr>
      <w:tr w:rsidR="00A000AA">
        <w:trPr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Quinte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17,4</w:t>
            </w:r>
          </w:p>
        </w:tc>
      </w:tr>
      <w:tr w:rsidR="00A000AA">
        <w:trPr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Pluriclassi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A000AA">
        <w:trPr>
          <w:jc w:val="center"/>
        </w:trPr>
        <w:tc>
          <w:tcPr>
            <w:tcW w:w="10591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A000A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000AA">
        <w:trPr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Totale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406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371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406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18,60</w:t>
            </w:r>
          </w:p>
        </w:tc>
      </w:tr>
      <w:tr w:rsidR="00A000AA">
        <w:trPr>
          <w:jc w:val="center"/>
        </w:trPr>
        <w:tc>
          <w:tcPr>
            <w:tcW w:w="10591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A000A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000AA">
        <w:trPr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Prime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23,75</w:t>
            </w:r>
          </w:p>
        </w:tc>
      </w:tr>
      <w:tr w:rsidR="00A000AA">
        <w:trPr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Seconde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</w:tr>
      <w:tr w:rsidR="00A000AA">
        <w:trPr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Terze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A000AA">
        <w:trPr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Pluriclassi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A000AA">
        <w:trPr>
          <w:jc w:val="center"/>
        </w:trPr>
        <w:tc>
          <w:tcPr>
            <w:tcW w:w="10591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A000A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000AA">
        <w:trPr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Totale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259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259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259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A000AA">
        <w:trPr>
          <w:jc w:val="center"/>
        </w:trPr>
        <w:tc>
          <w:tcPr>
            <w:tcW w:w="10591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A000A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A000AA" w:rsidRDefault="00A000A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A000AA" w:rsidRDefault="00005A6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br w:type="page"/>
      </w:r>
    </w:p>
    <w:p w:rsidR="00A000AA" w:rsidRDefault="00A000A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000AA" w:rsidRDefault="00005A6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..................................................</w:t>
      </w:r>
    </w:p>
    <w:p w:rsidR="00A000AA" w:rsidRDefault="00A000A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000AA" w:rsidRDefault="00005A6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Dati Generali Scuola Secondaria di II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Grado  -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Data di riferimento: 31 ottobre</w:t>
      </w:r>
    </w:p>
    <w:p w:rsidR="00A000AA" w:rsidRDefault="00005A6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La struttura delle classi per l'anno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scolastico  è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la seguente:</w:t>
      </w:r>
    </w:p>
    <w:p w:rsidR="00A000AA" w:rsidRDefault="00A000A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A000AA" w:rsidRDefault="00005A6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N. indirizzi/percorsi liceali presenti: .........</w:t>
      </w:r>
    </w:p>
    <w:p w:rsidR="00A000AA" w:rsidRDefault="00005A6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N. classi </w:t>
      </w: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articolate:   </w:t>
      </w:r>
      <w:proofErr w:type="gramEnd"/>
      <w:r>
        <w:rPr>
          <w:rFonts w:ascii="Times New Roman" w:eastAsia="Times New Roman" w:hAnsi="Times New Roman" w:cs="Times New Roman"/>
          <w:color w:val="000000"/>
        </w:rPr>
        <w:t>.........</w:t>
      </w:r>
    </w:p>
    <w:tbl>
      <w:tblPr>
        <w:tblStyle w:val="a4"/>
        <w:tblW w:w="1059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6"/>
        <w:gridCol w:w="656"/>
        <w:gridCol w:w="656"/>
        <w:gridCol w:w="874"/>
        <w:gridCol w:w="764"/>
        <w:gridCol w:w="764"/>
        <w:gridCol w:w="764"/>
        <w:gridCol w:w="764"/>
        <w:gridCol w:w="873"/>
        <w:gridCol w:w="655"/>
        <w:gridCol w:w="873"/>
        <w:gridCol w:w="873"/>
        <w:gridCol w:w="764"/>
        <w:gridCol w:w="764"/>
      </w:tblGrid>
      <w:tr w:rsidR="00A000AA">
        <w:trPr>
          <w:jc w:val="center"/>
        </w:trPr>
        <w:tc>
          <w:tcPr>
            <w:tcW w:w="27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Classi/Sezioni</w:t>
            </w:r>
          </w:p>
        </w:tc>
        <w:tc>
          <w:tcPr>
            <w:tcW w:w="1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Alunni Iscritti</w:t>
            </w:r>
          </w:p>
        </w:tc>
        <w:tc>
          <w:tcPr>
            <w:tcW w:w="63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Alunni frequentanti</w:t>
            </w:r>
          </w:p>
        </w:tc>
      </w:tr>
      <w:tr w:rsidR="00A000AA">
        <w:trPr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A000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Numero classi corsi diurni (a)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Numero classi corsi serali (b)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Totale classi (c=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a+b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)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Alunni iscritti al 1°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settembre  corsi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diurni (d)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Alunni iscritti al 1°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settembre  corsi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serali (e)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Alunni frequentanti classi corsi diurni (f) 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Alunni frequentanti classi corsi serali (g)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Totale alunni frequentanti (h=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f+g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)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Di cui div. abili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Differenza tra alunni iscritti al 1° settembre e alunni frequentanti corsi diurni (i=d-f)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Differenza tra alunni iscritti al 1° settembre e alunni frequentanti corsi serali (l=e-g)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Media alunni per classe corsi diurni (f/a)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Media alunni per classe corsi serali (g/b)</w:t>
            </w:r>
          </w:p>
        </w:tc>
      </w:tr>
      <w:tr w:rsidR="00A000AA">
        <w:trPr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Prime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A000A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A000A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A000A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A000A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A000A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A000A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A000A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A000AA">
        <w:trPr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Seconde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A000A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A000A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A000A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A000A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A000A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A000A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A000A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A000AA">
        <w:trPr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Terze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A000A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A000A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A000A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A000A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A000A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A000A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A000A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A000AA">
        <w:trPr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Quarte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A000A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A000A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A000A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A000A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A000A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A000A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A000A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A000AA">
        <w:trPr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Quinte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A000A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A000A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A000A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A000A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A000A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A000A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A000A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A000AA">
        <w:trPr>
          <w:jc w:val="center"/>
        </w:trPr>
        <w:tc>
          <w:tcPr>
            <w:tcW w:w="10591" w:type="dxa"/>
            <w:gridSpan w:val="1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A000A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000AA">
        <w:trPr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Totale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A000AA">
        <w:trPr>
          <w:jc w:val="center"/>
        </w:trPr>
        <w:tc>
          <w:tcPr>
            <w:tcW w:w="10591" w:type="dxa"/>
            <w:gridSpan w:val="1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A000A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A000AA" w:rsidRDefault="00A000A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A000AA" w:rsidRDefault="00005A6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br w:type="page"/>
      </w:r>
    </w:p>
    <w:p w:rsidR="00A000AA" w:rsidRDefault="00A000A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000AA" w:rsidRDefault="00005A6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..................................................</w:t>
      </w:r>
    </w:p>
    <w:p w:rsidR="00A000AA" w:rsidRDefault="00A000A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000AA" w:rsidRDefault="00005A6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Dati Generali Centri Provinciali per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l¿Istruzione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degli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Adulti  -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Data di riferimento: 31 ottobre</w:t>
      </w:r>
    </w:p>
    <w:p w:rsidR="00A000AA" w:rsidRDefault="00005A6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La struttura delle classi per l'anno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scolastico  è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la seguente:</w:t>
      </w:r>
    </w:p>
    <w:tbl>
      <w:tblPr>
        <w:tblStyle w:val="a5"/>
        <w:tblW w:w="10591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1695"/>
        <w:gridCol w:w="1800"/>
        <w:gridCol w:w="1800"/>
        <w:gridCol w:w="1800"/>
        <w:gridCol w:w="1800"/>
      </w:tblGrid>
      <w:tr w:rsidR="00A000AA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Numero classi</w:t>
            </w:r>
          </w:p>
          <w:p w:rsidR="00A000AA" w:rsidRDefault="00005A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 terminali</w:t>
            </w:r>
          </w:p>
          <w:p w:rsidR="00A000AA" w:rsidRDefault="00005A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(a)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Numero classi</w:t>
            </w:r>
          </w:p>
          <w:p w:rsidR="00A000AA" w:rsidRDefault="00005A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terminali</w:t>
            </w:r>
          </w:p>
          <w:p w:rsidR="00A000AA" w:rsidRDefault="00005A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(b)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Totale classi</w:t>
            </w:r>
          </w:p>
          <w:p w:rsidR="00A000AA" w:rsidRDefault="00005A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(c=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a+b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Totale alunni</w:t>
            </w:r>
          </w:p>
          <w:p w:rsidR="00A000AA" w:rsidRDefault="00005A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iscritti al 16 ottobre</w:t>
            </w:r>
          </w:p>
          <w:p w:rsidR="00A000AA" w:rsidRDefault="00005A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(d)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Totale alunni</w:t>
            </w:r>
          </w:p>
          <w:p w:rsidR="00A000AA" w:rsidRDefault="00005A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frequentanti</w:t>
            </w:r>
          </w:p>
          <w:p w:rsidR="00A000AA" w:rsidRDefault="00005A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(e)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Di cui</w:t>
            </w:r>
          </w:p>
          <w:p w:rsidR="00A000AA" w:rsidRDefault="00005A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diversamente abili</w:t>
            </w:r>
          </w:p>
        </w:tc>
      </w:tr>
      <w:tr w:rsidR="00A000AA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A000A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A000A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A000A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A000A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A000A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A000AA" w:rsidRDefault="00A000A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A000AA" w:rsidRDefault="00A000A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000AA" w:rsidRDefault="00005A6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..................................................</w:t>
      </w:r>
    </w:p>
    <w:p w:rsidR="00A000AA" w:rsidRDefault="00A000A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000AA" w:rsidRDefault="00005A6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Dati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Personale  -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Data di riferimento: 31 ottobre</w:t>
      </w:r>
    </w:p>
    <w:p w:rsidR="00A000AA" w:rsidRDefault="00005A6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La situazione del personale docente e ATA (organico di fatto) in servizio può così sintetizzarsi: </w:t>
      </w:r>
    </w:p>
    <w:tbl>
      <w:tblPr>
        <w:tblStyle w:val="a6"/>
        <w:tblW w:w="10591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73"/>
        <w:gridCol w:w="2118"/>
      </w:tblGrid>
      <w:tr w:rsidR="00A000AA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000AA" w:rsidRDefault="00005A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DIRIGENTE SCOLASTICO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A000A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000AA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A000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NUMERO</w:t>
            </w:r>
          </w:p>
        </w:tc>
      </w:tr>
      <w:tr w:rsidR="00A000AA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N.B. in presenza di cattedra o posto esterno il docente va rilevato solo dalla scuola di titolarità del posto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A000A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000AA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Insegnanti titolari a tempo indeterminato full-time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68</w:t>
            </w:r>
          </w:p>
        </w:tc>
      </w:tr>
      <w:tr w:rsidR="00A000AA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Insegnanti titolari a tempo indeterminato part-time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A000AA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Insegnanti titolari di sostegno a tempo indeterminato full-time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A000AA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Insegnanti titolari di sostegno a tempo indeterminato part-time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A000AA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Insegnanti su posto normale a tempo determinato con contratto annuale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A000AA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Insegnanti di sostegno a tempo determinato con contratto annuale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A000AA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Insegnanti a tempo determinato con contratto fino al 30 Giugno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A000AA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Insegnanti di sostegno a tempo determinato con contratto fino al 30 Giugno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A000AA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Insegnanti di religione a tempo indeterminato full-time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A000AA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Insegnanti di religione a tempo indeterminato part-time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A000AA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Insegnanti di religione incaricati annuali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A000AA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Insegnanti su posto normale con contratto a tempo determinato su spezzone orario*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A000AA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Insegnanti di sostegno con contratto a tempo determinato su spezzone orario*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A000AA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*da censire solo presso la 1° scuola che stipula il primo contratto nel caso in cui il docente abbia più spezzoni e quindi abbia stipulato diversi contratti con altrettante scuole.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A000A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000AA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000AA" w:rsidRDefault="00005A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TOTALE PERSONALE DOCENTE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109</w:t>
            </w:r>
          </w:p>
        </w:tc>
      </w:tr>
      <w:tr w:rsidR="00A000AA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N.B. il personale ATA va rilevato solo dalla scuola di titolarità del posto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NUMERO</w:t>
            </w:r>
          </w:p>
        </w:tc>
      </w:tr>
      <w:tr w:rsidR="00A000AA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Direttore dei Servizi Generali ed Amministrativi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A000AA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Direttore dei Servizi Generali ed Amministrativi a tempo determinato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A000AA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Coordinatore Amministrativo e Tecnico e/o Responsabile amministrativo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A000AA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Assistenti Amministrativi a tempo indeterminato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A000AA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Assistenti Amministrativi a tempo determinato con contratto annuale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A000AA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Assistenti Amministrativi a tempo determinato con contratto fino al 30 Giugno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A000AA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Assistenti Tecnici a tempo indeterminato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A000AA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Assistenti Tecnici a tempo determinato con contratto annuale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A000AA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Assistenti Tecnici a tempo determinato con contratto fino al 30 Giugno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A000AA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Collaboratori scolastici dei servizi a tempo indeterminato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A000AA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Collaboratori scolastici a tempo indeterminato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A000AA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Collaboratori scolastici a tempo determinato con contratto annuale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A000AA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Collaboratori scolastici a tempo determinato con contratto fino al 30 Giugno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A000AA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Personale altri profili (guardarobiere, cuoco, infermiere) a tempo indeterminato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A000AA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Personale altri profili (guardarobiere, cuoco, infermiere) a tempo determinato con contratto annuale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A000AA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Personale altri profili (guardarobiere, cuoco, infermiere) a tempo determinato con contratto fino al 30 Giugno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A000AA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Personale ATA a tempo indeterminato part-time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A000AA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000AA" w:rsidRDefault="00005A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TOTALE PERSONALE ATA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</w:tbl>
    <w:p w:rsidR="00A000AA" w:rsidRDefault="00A000A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A000AA" w:rsidRDefault="00A000A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000AA" w:rsidRDefault="00005A6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Si rilevano, altresì, n. ... unità di personale estraneo all'amministrazione che espleta il servizio di pulizia degli spazi e dei locali ivi compreso quello beneficiario delle disposizioni contemplate dal decreto interministeriale 20 aprile 2001, n. 65</w:t>
      </w:r>
    </w:p>
    <w:p w:rsidR="00A000AA" w:rsidRDefault="00005A6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Programma Annuale (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Mod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A)</w:t>
      </w:r>
    </w:p>
    <w:p w:rsidR="00A000AA" w:rsidRDefault="00005A6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Le previsioni di competenza del programma annuale si sintetizzano nei seguenti dati:</w:t>
      </w:r>
    </w:p>
    <w:tbl>
      <w:tblPr>
        <w:tblStyle w:val="a7"/>
        <w:tblW w:w="10591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84"/>
        <w:gridCol w:w="3707"/>
      </w:tblGrid>
      <w:tr w:rsidR="00A000AA">
        <w:trPr>
          <w:jc w:val="center"/>
        </w:trPr>
        <w:tc>
          <w:tcPr>
            <w:tcW w:w="10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000AA" w:rsidRDefault="00005A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ENTRATE</w:t>
            </w:r>
          </w:p>
        </w:tc>
      </w:tr>
      <w:tr w:rsidR="00A000AA">
        <w:trPr>
          <w:jc w:val="center"/>
        </w:trPr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01-Avanzo di amministrazione presunto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€ 284.690,95</w:t>
            </w:r>
          </w:p>
        </w:tc>
      </w:tr>
      <w:tr w:rsidR="00A000AA">
        <w:trPr>
          <w:jc w:val="center"/>
        </w:trPr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02-Finanziamenti dall'Unione Europea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€ 0,00</w:t>
            </w:r>
          </w:p>
        </w:tc>
      </w:tr>
      <w:tr w:rsidR="00A000AA">
        <w:trPr>
          <w:jc w:val="center"/>
        </w:trPr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03-Finanziamenti dello Stato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€ 13.414,30</w:t>
            </w:r>
          </w:p>
        </w:tc>
      </w:tr>
      <w:tr w:rsidR="00A000AA">
        <w:trPr>
          <w:jc w:val="center"/>
        </w:trPr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04-Finanziamenti della Regione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€ 0,00</w:t>
            </w:r>
          </w:p>
        </w:tc>
      </w:tr>
      <w:tr w:rsidR="00A000AA">
        <w:trPr>
          <w:jc w:val="center"/>
        </w:trPr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05-Finanziamenti da Enti locali o da altre Istituzioni pubbliche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€ 15.994,00</w:t>
            </w:r>
          </w:p>
        </w:tc>
      </w:tr>
      <w:tr w:rsidR="00A000AA">
        <w:trPr>
          <w:jc w:val="center"/>
        </w:trPr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06-Contributi da privati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€ 0,00</w:t>
            </w:r>
          </w:p>
        </w:tc>
      </w:tr>
      <w:tr w:rsidR="00A000AA">
        <w:trPr>
          <w:jc w:val="center"/>
        </w:trPr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07-Proventi da gestioni economiche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€ 0,00</w:t>
            </w:r>
          </w:p>
        </w:tc>
      </w:tr>
      <w:tr w:rsidR="00A000AA">
        <w:trPr>
          <w:jc w:val="center"/>
        </w:trPr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08-Rimborsi e restituzione somme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€ 0,00</w:t>
            </w:r>
          </w:p>
        </w:tc>
      </w:tr>
      <w:tr w:rsidR="00A000AA">
        <w:trPr>
          <w:jc w:val="center"/>
        </w:trPr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09-Alienazione di beni materiali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€ 0,00</w:t>
            </w:r>
          </w:p>
        </w:tc>
      </w:tr>
      <w:tr w:rsidR="00A000AA">
        <w:trPr>
          <w:jc w:val="center"/>
        </w:trPr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10-Alienazione di beni immateriali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€ 0,00</w:t>
            </w:r>
          </w:p>
        </w:tc>
      </w:tr>
      <w:tr w:rsidR="00A000AA">
        <w:trPr>
          <w:jc w:val="center"/>
        </w:trPr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11-Sponsor e utilizzo locali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€ 0,00</w:t>
            </w:r>
          </w:p>
        </w:tc>
      </w:tr>
      <w:tr w:rsidR="00A000AA">
        <w:trPr>
          <w:jc w:val="center"/>
        </w:trPr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12-Altre entrate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€ 0,00</w:t>
            </w:r>
          </w:p>
        </w:tc>
      </w:tr>
      <w:tr w:rsidR="00A000AA">
        <w:trPr>
          <w:jc w:val="center"/>
        </w:trPr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13-Mutui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€ 0,00</w:t>
            </w:r>
          </w:p>
        </w:tc>
      </w:tr>
      <w:tr w:rsidR="00A000AA">
        <w:trPr>
          <w:jc w:val="center"/>
        </w:trPr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TOTALE ENTRATE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€ 314.099,25</w:t>
            </w:r>
          </w:p>
        </w:tc>
      </w:tr>
      <w:tr w:rsidR="00A000AA">
        <w:trPr>
          <w:jc w:val="center"/>
        </w:trPr>
        <w:tc>
          <w:tcPr>
            <w:tcW w:w="10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000AA" w:rsidRDefault="00A000A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000AA" w:rsidRDefault="00005A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SPESE</w:t>
            </w:r>
          </w:p>
        </w:tc>
      </w:tr>
      <w:tr w:rsidR="00A000AA">
        <w:trPr>
          <w:jc w:val="center"/>
        </w:trPr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Attività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€ 220.039,</w:t>
            </w:r>
            <w:r w:rsidR="004B603B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</w:tr>
      <w:tr w:rsidR="00A000AA">
        <w:trPr>
          <w:jc w:val="center"/>
        </w:trPr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A01-Funzionamento generale e decoro della Scuola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€ 39.501,74</w:t>
            </w:r>
          </w:p>
        </w:tc>
      </w:tr>
      <w:tr w:rsidR="00A000AA">
        <w:trPr>
          <w:jc w:val="center"/>
        </w:trPr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A02-Funzionamento amministrativo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€ 25.355,50</w:t>
            </w:r>
          </w:p>
        </w:tc>
      </w:tr>
      <w:tr w:rsidR="00A000AA">
        <w:trPr>
          <w:jc w:val="center"/>
        </w:trPr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A03-Didattica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€ 154.682,</w:t>
            </w:r>
            <w:r w:rsidR="004B603B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</w:tr>
      <w:tr w:rsidR="00A000AA">
        <w:trPr>
          <w:jc w:val="center"/>
        </w:trPr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A04-Alternanza Scuola-Lavoro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€ 0,00</w:t>
            </w:r>
          </w:p>
        </w:tc>
      </w:tr>
      <w:tr w:rsidR="00A000AA">
        <w:trPr>
          <w:jc w:val="center"/>
        </w:trPr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A05-Visite, viaggi e programmi di studio all’estero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€ 0,00</w:t>
            </w:r>
          </w:p>
        </w:tc>
      </w:tr>
      <w:tr w:rsidR="00A000AA">
        <w:trPr>
          <w:jc w:val="center"/>
        </w:trPr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A06-Attività di orientamento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€ 500,00</w:t>
            </w:r>
          </w:p>
        </w:tc>
      </w:tr>
      <w:tr w:rsidR="00A000AA">
        <w:trPr>
          <w:jc w:val="center"/>
        </w:trPr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Progetti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€ 92.718,45</w:t>
            </w:r>
          </w:p>
        </w:tc>
      </w:tr>
      <w:tr w:rsidR="00A000AA">
        <w:trPr>
          <w:jc w:val="center"/>
        </w:trPr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P01-Progetti in ambito "Scientifico, tecnico e professionale"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€ 24.387,53</w:t>
            </w:r>
          </w:p>
        </w:tc>
      </w:tr>
      <w:tr w:rsidR="00A000AA">
        <w:trPr>
          <w:jc w:val="center"/>
        </w:trPr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P02-Progetti in ambito "Umanistico e sociale"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€ 59.564,00</w:t>
            </w:r>
          </w:p>
        </w:tc>
      </w:tr>
      <w:tr w:rsidR="00A000AA">
        <w:trPr>
          <w:jc w:val="center"/>
        </w:trPr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P03-Progetti per "Certificazioni e corsi professionali"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€ 0,00</w:t>
            </w:r>
          </w:p>
        </w:tc>
      </w:tr>
      <w:tr w:rsidR="00A000AA">
        <w:trPr>
          <w:jc w:val="center"/>
        </w:trPr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P04-Progetti per "Formazione / aggiornamento personale"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€ 6.610,75</w:t>
            </w:r>
          </w:p>
        </w:tc>
      </w:tr>
      <w:tr w:rsidR="00A000AA">
        <w:trPr>
          <w:jc w:val="center"/>
        </w:trPr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P05-Progetti per "Gare e concorsi"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€ 2.156,17</w:t>
            </w:r>
          </w:p>
        </w:tc>
      </w:tr>
      <w:tr w:rsidR="00A000AA">
        <w:trPr>
          <w:jc w:val="center"/>
        </w:trPr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Gestioni economiche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€ 0,00</w:t>
            </w:r>
          </w:p>
        </w:tc>
      </w:tr>
      <w:tr w:rsidR="00A000AA">
        <w:trPr>
          <w:jc w:val="center"/>
        </w:trPr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G01-Azienda agraria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€ 0,00</w:t>
            </w:r>
          </w:p>
        </w:tc>
      </w:tr>
      <w:tr w:rsidR="00A000AA">
        <w:trPr>
          <w:jc w:val="center"/>
        </w:trPr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G02-Azienda speciale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€ 0,00</w:t>
            </w:r>
          </w:p>
        </w:tc>
      </w:tr>
      <w:tr w:rsidR="00A000AA">
        <w:trPr>
          <w:jc w:val="center"/>
        </w:trPr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G03-Attività per conto terzi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€ 0,00</w:t>
            </w:r>
          </w:p>
        </w:tc>
      </w:tr>
      <w:tr w:rsidR="00A000AA">
        <w:trPr>
          <w:jc w:val="center"/>
        </w:trPr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G04-Attività convittuale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€ 0,00</w:t>
            </w:r>
          </w:p>
        </w:tc>
      </w:tr>
      <w:tr w:rsidR="00A000AA">
        <w:trPr>
          <w:jc w:val="center"/>
        </w:trPr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R98-Fondo di Riserva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€ 1.341,43</w:t>
            </w:r>
          </w:p>
        </w:tc>
      </w:tr>
      <w:tr w:rsidR="00A000AA">
        <w:trPr>
          <w:jc w:val="center"/>
        </w:trPr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D100-Disavanzo di amministrazione presunto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€ 0,00</w:t>
            </w:r>
          </w:p>
        </w:tc>
      </w:tr>
      <w:tr w:rsidR="00A000AA">
        <w:trPr>
          <w:jc w:val="center"/>
        </w:trPr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TOTALE SPESE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€ 314.099,</w:t>
            </w:r>
            <w:r w:rsidR="004B603B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A000AA">
        <w:trPr>
          <w:jc w:val="center"/>
        </w:trPr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Z101-Disponibilità finanziaria da programmare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€ 0,00</w:t>
            </w:r>
          </w:p>
        </w:tc>
      </w:tr>
      <w:tr w:rsidR="00A000AA">
        <w:trPr>
          <w:jc w:val="center"/>
        </w:trPr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TOTALE A PAREGGIO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€ 314.099,25</w:t>
            </w:r>
          </w:p>
        </w:tc>
      </w:tr>
    </w:tbl>
    <w:p w:rsidR="00A000AA" w:rsidRDefault="00A000A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A000AA" w:rsidRDefault="00A000A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A000AA" w:rsidRDefault="00A000A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000AA" w:rsidRDefault="00005A6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..................................................</w:t>
      </w:r>
    </w:p>
    <w:p w:rsidR="00A000AA" w:rsidRDefault="00A000A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000AA" w:rsidRDefault="00005A6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Verifica Situazione Amministrativa Presunta</w:t>
      </w:r>
    </w:p>
    <w:p w:rsidR="00A000AA" w:rsidRDefault="00005A6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Il programma annuale espone un avanzo/disavanzo di amministrazione presunto di Euro 284.690,95, come riportato nel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Mod</w:t>
      </w:r>
      <w:proofErr w:type="spellEnd"/>
      <w:r>
        <w:rPr>
          <w:rFonts w:ascii="Times New Roman" w:eastAsia="Times New Roman" w:hAnsi="Times New Roman" w:cs="Times New Roman"/>
          <w:color w:val="000000"/>
        </w:rPr>
        <w:t>. C.</w:t>
      </w:r>
    </w:p>
    <w:p w:rsidR="00A000AA" w:rsidRDefault="00A000A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A000AA" w:rsidRDefault="00A000A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000AA" w:rsidRDefault="00005A6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..................................................</w:t>
      </w:r>
    </w:p>
    <w:p w:rsidR="00A000AA" w:rsidRDefault="00A000A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000AA" w:rsidRDefault="00005A6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Utilizzo avanzo di amministrazione presunto (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Mod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D)</w:t>
      </w:r>
    </w:p>
    <w:p w:rsidR="00A000AA" w:rsidRDefault="00005A6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L'avanzo di amministrazione presunto risulta così assegnato ai vari aggregati di spesa e progetti come riportato nel modello D:</w:t>
      </w:r>
    </w:p>
    <w:tbl>
      <w:tblPr>
        <w:tblStyle w:val="a8"/>
        <w:tblW w:w="10591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37"/>
        <w:gridCol w:w="2118"/>
        <w:gridCol w:w="2118"/>
        <w:gridCol w:w="2118"/>
      </w:tblGrid>
      <w:tr w:rsidR="00A000AA">
        <w:trPr>
          <w:jc w:val="center"/>
        </w:trPr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UTILIZZO AVANZO AMMINISTRAZIONE PRESUNTO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TOTALE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IMPORTO</w:t>
            </w:r>
          </w:p>
          <w:p w:rsidR="00A000AA" w:rsidRDefault="00005A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VINCOLATO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IMPORTO</w:t>
            </w:r>
          </w:p>
          <w:p w:rsidR="00A000AA" w:rsidRDefault="00005A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NON VINCOLATO</w:t>
            </w:r>
          </w:p>
        </w:tc>
      </w:tr>
      <w:tr w:rsidR="00A000AA">
        <w:trPr>
          <w:jc w:val="center"/>
        </w:trPr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Attività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€ 207.966,50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€ 201.978,02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€ 5.988,48</w:t>
            </w:r>
          </w:p>
        </w:tc>
      </w:tr>
      <w:tr w:rsidR="00A000AA">
        <w:trPr>
          <w:jc w:val="center"/>
        </w:trPr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A01-Funzionamento generale e decoro della Scuola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€ 35.501,74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€ 33.501,74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€ 2.000,00</w:t>
            </w:r>
          </w:p>
        </w:tc>
      </w:tr>
      <w:tr w:rsidR="00A000AA">
        <w:trPr>
          <w:jc w:val="center"/>
        </w:trPr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A02-Funzionamento amministrativo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€ 21.355,50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€ 19.355,50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€ 2.000,00</w:t>
            </w:r>
          </w:p>
        </w:tc>
      </w:tr>
      <w:tr w:rsidR="00A000AA">
        <w:trPr>
          <w:jc w:val="center"/>
        </w:trPr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A03-Didattica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€ 150.609,26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€ 148.620,78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€ 1.988,48</w:t>
            </w:r>
          </w:p>
        </w:tc>
      </w:tr>
      <w:tr w:rsidR="00A000AA">
        <w:trPr>
          <w:jc w:val="center"/>
        </w:trPr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A04-Alternanza Scuola-Lavoro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€ 0,00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€ 0,00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€ 0,00</w:t>
            </w:r>
          </w:p>
        </w:tc>
      </w:tr>
      <w:tr w:rsidR="00A000AA">
        <w:trPr>
          <w:jc w:val="center"/>
        </w:trPr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A05-Visite, viaggi e programmi di studio all’estero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€ 0,00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€ 0,00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€ 0,00</w:t>
            </w:r>
          </w:p>
        </w:tc>
      </w:tr>
      <w:tr w:rsidR="00A000AA">
        <w:trPr>
          <w:jc w:val="center"/>
        </w:trPr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A06-Attività di orientamento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€ 500,00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€ 500,00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€ 0,00</w:t>
            </w:r>
          </w:p>
        </w:tc>
      </w:tr>
      <w:tr w:rsidR="00A000AA">
        <w:trPr>
          <w:jc w:val="center"/>
        </w:trPr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Progetti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€ 76.724,45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€ 76.724,45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€ 0,00</w:t>
            </w:r>
          </w:p>
        </w:tc>
      </w:tr>
      <w:tr w:rsidR="00A000AA">
        <w:trPr>
          <w:jc w:val="center"/>
        </w:trPr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P01-Progetti in ambito "Scientifico, tecnico e professionale"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€ 18.887,53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€ 18.887,53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€ 0,00</w:t>
            </w:r>
          </w:p>
        </w:tc>
      </w:tr>
      <w:tr w:rsidR="00A000AA">
        <w:trPr>
          <w:jc w:val="center"/>
        </w:trPr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P02-Progetti in ambito "Umanistico e sociale"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€ 49.070,00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€ 49.070,00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€ 0,00</w:t>
            </w:r>
          </w:p>
        </w:tc>
      </w:tr>
      <w:tr w:rsidR="00A000AA">
        <w:trPr>
          <w:jc w:val="center"/>
        </w:trPr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P03-Progetti per "Certificazioni e corsi professionali"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€ 0,00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€ 0,00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€ 0,00</w:t>
            </w:r>
          </w:p>
        </w:tc>
      </w:tr>
      <w:tr w:rsidR="00A000AA">
        <w:trPr>
          <w:jc w:val="center"/>
        </w:trPr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P04-Progetti per "Formazione / aggiornamento personale"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€ 6.610,75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€ 6.610,75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€ 0,00</w:t>
            </w:r>
          </w:p>
        </w:tc>
      </w:tr>
      <w:tr w:rsidR="00A000AA">
        <w:trPr>
          <w:jc w:val="center"/>
        </w:trPr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P05-Progetti per "Gare e concorsi"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€ 2.156,17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€ 2.156,17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€ 0,00</w:t>
            </w:r>
          </w:p>
        </w:tc>
      </w:tr>
      <w:tr w:rsidR="00A000AA">
        <w:trPr>
          <w:jc w:val="center"/>
        </w:trPr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Gestioni economiche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€ 0,00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€ 0,00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€ 0,00</w:t>
            </w:r>
          </w:p>
        </w:tc>
      </w:tr>
      <w:tr w:rsidR="00A000AA">
        <w:trPr>
          <w:jc w:val="center"/>
        </w:trPr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G01-Azienda agraria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€ 0,00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€ 0,00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€ 0,00</w:t>
            </w:r>
          </w:p>
        </w:tc>
      </w:tr>
      <w:tr w:rsidR="00A000AA">
        <w:trPr>
          <w:jc w:val="center"/>
        </w:trPr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G02-Azienda speciale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€ 0,00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€ 0,00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€ 0,00</w:t>
            </w:r>
          </w:p>
        </w:tc>
      </w:tr>
      <w:tr w:rsidR="00A000AA">
        <w:trPr>
          <w:jc w:val="center"/>
        </w:trPr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G03-Attività per conto terzi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€ 0,00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€ 0,00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€ 0,00</w:t>
            </w:r>
          </w:p>
        </w:tc>
      </w:tr>
      <w:tr w:rsidR="00A000AA">
        <w:trPr>
          <w:jc w:val="center"/>
        </w:trPr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G04-Attività convittuale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€ 0,00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€ 0,00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€ 0,00</w:t>
            </w:r>
          </w:p>
        </w:tc>
      </w:tr>
      <w:tr w:rsidR="00A000AA">
        <w:trPr>
          <w:jc w:val="center"/>
        </w:trPr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TOTALE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€ 284.690,95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€ 278.702,47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00AA" w:rsidRDefault="00005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€ 5.988,48</w:t>
            </w:r>
          </w:p>
        </w:tc>
      </w:tr>
    </w:tbl>
    <w:p w:rsidR="00A000AA" w:rsidRDefault="00A000A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A000AA" w:rsidRDefault="00A000A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A000AA" w:rsidRDefault="00A000A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A000AA" w:rsidRDefault="00005A6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Si fa presente che, come previsto dall'art.7 del Regolamento, detti stanziamenti possono essere impegnati solamente </w:t>
      </w:r>
      <w:r>
        <w:rPr>
          <w:rFonts w:ascii="Times New Roman" w:eastAsia="Times New Roman" w:hAnsi="Times New Roman" w:cs="Times New Roman"/>
          <w:color w:val="000000"/>
        </w:rPr>
        <w:lastRenderedPageBreak/>
        <w:t>dopo la realizzazione dell'effettiva disponibilità finanziaria e nei limiti dell'avanzo effettivamente realizzato.</w:t>
      </w:r>
    </w:p>
    <w:p w:rsidR="00A000AA" w:rsidRDefault="00A000A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A000AA" w:rsidRDefault="00A000A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000AA" w:rsidRDefault="00005A6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..................................................</w:t>
      </w:r>
    </w:p>
    <w:p w:rsidR="00A000AA" w:rsidRDefault="00A000A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000AA" w:rsidRDefault="00005A6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(Accertamenti negativi)</w:t>
      </w:r>
    </w:p>
    <w:p w:rsidR="00A000AA" w:rsidRDefault="00A000A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A000AA" w:rsidRDefault="00005A60">
      <w:pPr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 Non risultano osservate le norme regolamentari</w:t>
      </w:r>
    </w:p>
    <w:p w:rsidR="00A000AA" w:rsidRDefault="00005A60">
      <w:pPr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 La relazione illustrativa predisposta dal dirigente scolastico è carente nei contenuti richiesti dall'art. 5, comma 7, del regolamento</w:t>
      </w:r>
    </w:p>
    <w:p w:rsidR="00A000AA" w:rsidRDefault="00005A60">
      <w:pPr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 Sono presenti inesattezze nei modelli del Programma Annuale</w:t>
      </w:r>
    </w:p>
    <w:p w:rsidR="00A000AA" w:rsidRDefault="00005A60">
      <w:pPr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 Il Programma Annuale non è conforme ai principi di bilancio di cui all'art. 2 del regolamento</w:t>
      </w:r>
    </w:p>
    <w:p w:rsidR="00A000AA" w:rsidRDefault="00005A60">
      <w:pPr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 L'avanzo d'amministrazione non è correttamente stimato</w:t>
      </w:r>
    </w:p>
    <w:p w:rsidR="00A000AA" w:rsidRDefault="00005A60">
      <w:pPr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 Sono presenti incoerenze tra i dati previsionali di spesa del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Mod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. A e la somma dei dati delle schede finanziarie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Mod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. B</w:t>
      </w:r>
    </w:p>
    <w:p w:rsidR="00A000AA" w:rsidRDefault="00005A60">
      <w:pPr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 Non è presente pareggio Entrate/Spese per attività e progetti</w:t>
      </w:r>
    </w:p>
    <w:p w:rsidR="00A000AA" w:rsidRDefault="00005A60">
      <w:pPr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 Non è presente un'esatta determinazione del Fondo di riserva (art. 8, comma 1)</w:t>
      </w:r>
    </w:p>
    <w:p w:rsidR="00A000AA" w:rsidRDefault="00005A60">
      <w:pPr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 Sono presenti inattendibilità delle previsioni di entrata e/o incongruità degli stanziamenti di spesa</w:t>
      </w:r>
    </w:p>
    <w:p w:rsidR="00A000AA" w:rsidRDefault="00005A60">
      <w:pPr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 Il PTOF non è stato approvato</w:t>
      </w:r>
    </w:p>
    <w:p w:rsidR="00A000AA" w:rsidRDefault="00005A60">
      <w:pPr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 Non risulta corretta la procedura di costituzione del Fondo economale per le minute spese, ai sensi dell'art. 21, commi 1 e 2</w:t>
      </w:r>
    </w:p>
    <w:p w:rsidR="00A000AA" w:rsidRDefault="00005A60">
      <w:pPr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 Non è stato rispettato il vincolo di destinazione delle somme vincolate confluite nell'avanzo di amministrazione presunto</w:t>
      </w:r>
    </w:p>
    <w:p w:rsidR="00A000AA" w:rsidRDefault="00A000A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000AA" w:rsidRDefault="00A000A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000AA" w:rsidRDefault="00005A6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(Accertamenti positivi)</w:t>
      </w:r>
    </w:p>
    <w:p w:rsidR="00A000AA" w:rsidRDefault="00A000A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A000AA" w:rsidRDefault="00005A60">
      <w:pPr>
        <w:widowControl w:val="0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 Risultano osservate le norme regolamentari</w:t>
      </w:r>
    </w:p>
    <w:p w:rsidR="00A000AA" w:rsidRDefault="00005A60">
      <w:pPr>
        <w:widowControl w:val="0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 La relazione illustrativa predisposta dal dirigente scolastico è esaustiva nei contenuti richiesti dall'art. 5, comma 7, del regolamento</w:t>
      </w:r>
    </w:p>
    <w:p w:rsidR="00A000AA" w:rsidRDefault="00005A60">
      <w:pPr>
        <w:widowControl w:val="0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 Non sono presenti inesattezze nei modelli del Programma Annuale</w:t>
      </w:r>
    </w:p>
    <w:p w:rsidR="00A000AA" w:rsidRDefault="00005A60">
      <w:pPr>
        <w:widowControl w:val="0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 Il Programma Annuale è conforme ai principi di bilancio di cui all'art. 2 del regolamento</w:t>
      </w:r>
    </w:p>
    <w:p w:rsidR="00A000AA" w:rsidRDefault="00005A60">
      <w:pPr>
        <w:widowControl w:val="0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 L'avanzo d'amministrazione è correttamente stimato</w:t>
      </w:r>
    </w:p>
    <w:p w:rsidR="00A000AA" w:rsidRDefault="00005A60">
      <w:pPr>
        <w:widowControl w:val="0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 Non sono presenti incoerenze tra i dati previsionali di spesa del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Mod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. A e la somma dei dati delle schede finanziarie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Mod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. B</w:t>
      </w:r>
    </w:p>
    <w:p w:rsidR="00A000AA" w:rsidRDefault="00005A60">
      <w:pPr>
        <w:widowControl w:val="0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E'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presente pareggio Entrate/Spese per attività e progetti</w:t>
      </w:r>
    </w:p>
    <w:p w:rsidR="00A000AA" w:rsidRDefault="00005A60">
      <w:pPr>
        <w:widowControl w:val="0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E'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presente un'esatta determinazione del Fondo di riserva (art. 8, comma 1)</w:t>
      </w:r>
    </w:p>
    <w:p w:rsidR="00A000AA" w:rsidRDefault="00005A60">
      <w:pPr>
        <w:widowControl w:val="0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 Non sono presenti inattendibilità delle previsioni di entrata e/o incongruità degli stanziamenti di spesa</w:t>
      </w:r>
    </w:p>
    <w:p w:rsidR="00A000AA" w:rsidRDefault="00005A60">
      <w:pPr>
        <w:widowControl w:val="0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 Il PTOF è stato approvato</w:t>
      </w:r>
    </w:p>
    <w:p w:rsidR="00A000AA" w:rsidRDefault="00005A60">
      <w:pPr>
        <w:widowControl w:val="0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 Risulta corretta la procedura di costituzione del Fondo economale per le minute spese, ai sensi dell'art. 21, commi 1 e 2</w:t>
      </w:r>
    </w:p>
    <w:p w:rsidR="00A000AA" w:rsidRDefault="00005A60">
      <w:pPr>
        <w:widowControl w:val="0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E'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stato rispettato il vincolo di destinazione delle somme vincolate confluite nell'avanzo di amministrazione presunto</w:t>
      </w:r>
    </w:p>
    <w:p w:rsidR="00A000AA" w:rsidRDefault="00A000A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000AA" w:rsidRDefault="00A000A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000AA" w:rsidRDefault="00A000A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000AA" w:rsidRDefault="00A000A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A000AA" w:rsidRDefault="00005A6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..............................................</w:t>
      </w:r>
    </w:p>
    <w:p w:rsidR="00A000AA" w:rsidRDefault="00A000A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000AA" w:rsidRDefault="00005A6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Conclusioni</w:t>
      </w:r>
    </w:p>
    <w:p w:rsidR="00A000AA" w:rsidRDefault="00005A6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000000"/>
        </w:rPr>
        <w:t xml:space="preserve">I Revisori dei conti, prendendo atto del contenuto dell'apposita relazione predisposta dal Dirigente scolastico con riferimento agli obiettivi che l'istituzione scolastica intende realizzare nell'anno 2023,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nonchè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della documentazione esaminata, ritengono di poter esprimere parere favorevole di regolarità contabile sul Programma Annuale 2023</w:t>
      </w:r>
    </w:p>
    <w:p w:rsidR="00A000AA" w:rsidRDefault="00A000A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A000AA" w:rsidRDefault="00005A6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oppure</w:t>
      </w:r>
    </w:p>
    <w:p w:rsidR="00A000AA" w:rsidRDefault="00A000A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A000AA" w:rsidRDefault="00005A6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 Revisori dei conti, in relazione a quanto sopra esposto, ritengono di non poter esprimere parere favorevole di regolarità contabile sul Programma Annuale ________</w:t>
      </w:r>
    </w:p>
    <w:p w:rsidR="00A000AA" w:rsidRDefault="00005A6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Il presente verbale, chiuso alle ore ......................., l'anno ......... il giorno ......... del mese di ........., viene letto, confermato, sottoscritto e successivamente inserito nell'apposito registro.</w:t>
      </w:r>
    </w:p>
    <w:tbl>
      <w:tblPr>
        <w:tblStyle w:val="a9"/>
        <w:tblW w:w="9520" w:type="dxa"/>
        <w:tblInd w:w="3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64"/>
        <w:gridCol w:w="2856"/>
      </w:tblGrid>
      <w:tr w:rsidR="00A000AA">
        <w:tc>
          <w:tcPr>
            <w:tcW w:w="66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</w:tcPr>
          <w:p w:rsidR="00A000AA" w:rsidRDefault="00005A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...................................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</w:tcPr>
          <w:p w:rsidR="00A000AA" w:rsidRDefault="00A000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000AA">
        <w:tc>
          <w:tcPr>
            <w:tcW w:w="66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</w:tcPr>
          <w:p w:rsidR="00A000AA" w:rsidRDefault="00005A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...................................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</w:tcPr>
          <w:p w:rsidR="00A000AA" w:rsidRDefault="00A000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A000AA" w:rsidRDefault="00A000A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bookmarkStart w:id="1" w:name="_GoBack"/>
      <w:bookmarkEnd w:id="1"/>
    </w:p>
    <w:sectPr w:rsidR="00A000AA">
      <w:headerReference w:type="default" r:id="rId8"/>
      <w:footerReference w:type="default" r:id="rId9"/>
      <w:pgSz w:w="11907" w:h="16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0BF2" w:rsidRDefault="00005A60">
      <w:pPr>
        <w:spacing w:after="0" w:line="240" w:lineRule="auto"/>
      </w:pPr>
      <w:r>
        <w:separator/>
      </w:r>
    </w:p>
  </w:endnote>
  <w:endnote w:type="continuationSeparator" w:id="0">
    <w:p w:rsidR="00E70BF2" w:rsidRDefault="00005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00AA" w:rsidRDefault="00005A60">
    <w:pPr>
      <w:widowControl w:val="0"/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i/>
        <w:color w:val="000000"/>
        <w:sz w:val="20"/>
        <w:szCs w:val="20"/>
      </w:rPr>
      <w:t xml:space="preserve">Pagina: </w:t>
    </w:r>
    <w:r>
      <w:rPr>
        <w:rFonts w:ascii="Times New Roman" w:eastAsia="Times New Roman" w:hAnsi="Times New Roman" w:cs="Times New Roman"/>
        <w:i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i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i/>
        <w:color w:val="000000"/>
        <w:sz w:val="20"/>
        <w:szCs w:val="20"/>
      </w:rPr>
      <w:fldChar w:fldCharType="separate"/>
    </w:r>
    <w:r w:rsidR="0088035A">
      <w:rPr>
        <w:rFonts w:ascii="Times New Roman" w:eastAsia="Times New Roman" w:hAnsi="Times New Roman" w:cs="Times New Roman"/>
        <w:i/>
        <w:noProof/>
        <w:color w:val="000000"/>
        <w:sz w:val="20"/>
        <w:szCs w:val="20"/>
      </w:rPr>
      <w:t>1</w:t>
    </w:r>
    <w:r>
      <w:rPr>
        <w:rFonts w:ascii="Times New Roman" w:eastAsia="Times New Roman" w:hAnsi="Times New Roman" w:cs="Times New Roman"/>
        <w:i/>
        <w:color w:val="000000"/>
        <w:sz w:val="20"/>
        <w:szCs w:val="20"/>
      </w:rPr>
      <w:fldChar w:fldCharType="end"/>
    </w:r>
    <w:r>
      <w:rPr>
        <w:rFonts w:ascii="Times New Roman" w:eastAsia="Times New Roman" w:hAnsi="Times New Roman" w:cs="Times New Roman"/>
        <w:i/>
        <w:color w:val="00000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0BF2" w:rsidRDefault="00005A60">
      <w:pPr>
        <w:spacing w:after="0" w:line="240" w:lineRule="auto"/>
      </w:pPr>
      <w:r>
        <w:separator/>
      </w:r>
    </w:p>
  </w:footnote>
  <w:footnote w:type="continuationSeparator" w:id="0">
    <w:p w:rsidR="00E70BF2" w:rsidRDefault="00005A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00AA" w:rsidRDefault="00A000AA">
    <w:pPr>
      <w:widowControl w:val="0"/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253C7"/>
    <w:multiLevelType w:val="multilevel"/>
    <w:tmpl w:val="6ED8CBA8"/>
    <w:lvl w:ilvl="0">
      <w:start w:val="1"/>
      <w:numFmt w:val="bullet"/>
      <w:lvlText w:val="●"/>
      <w:lvlJc w:val="left"/>
      <w:pPr>
        <w:ind w:left="200" w:hanging="20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F0A7B52"/>
    <w:multiLevelType w:val="multilevel"/>
    <w:tmpl w:val="A026603A"/>
    <w:lvl w:ilvl="0">
      <w:start w:val="1"/>
      <w:numFmt w:val="decimal"/>
      <w:lvlText w:val="%1."/>
      <w:lvlJc w:val="left"/>
      <w:pPr>
        <w:ind w:left="400" w:hanging="40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311F3990"/>
    <w:multiLevelType w:val="multilevel"/>
    <w:tmpl w:val="13DC560E"/>
    <w:lvl w:ilvl="0">
      <w:start w:val="1"/>
      <w:numFmt w:val="decimal"/>
      <w:lvlText w:val="%1."/>
      <w:lvlJc w:val="left"/>
      <w:pPr>
        <w:ind w:left="400" w:hanging="40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554D4380"/>
    <w:multiLevelType w:val="multilevel"/>
    <w:tmpl w:val="6F243060"/>
    <w:lvl w:ilvl="0">
      <w:start w:val="1"/>
      <w:numFmt w:val="bullet"/>
      <w:lvlText w:val="●"/>
      <w:lvlJc w:val="left"/>
      <w:pPr>
        <w:ind w:left="200" w:hanging="20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68445389"/>
    <w:multiLevelType w:val="multilevel"/>
    <w:tmpl w:val="E3500B84"/>
    <w:lvl w:ilvl="0">
      <w:start w:val="1"/>
      <w:numFmt w:val="decimal"/>
      <w:lvlText w:val="%1."/>
      <w:lvlJc w:val="left"/>
      <w:pPr>
        <w:ind w:left="400" w:hanging="40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0AA"/>
    <w:rsid w:val="00005A60"/>
    <w:rsid w:val="004B603B"/>
    <w:rsid w:val="0088035A"/>
    <w:rsid w:val="00A000AA"/>
    <w:rsid w:val="00E7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E33E2"/>
  <w15:docId w15:val="{7B849D85-D106-48EB-9F29-2FD49362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left w:w="30" w:type="dxa"/>
        <w:right w:w="3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30" w:type="dxa"/>
        <w:right w:w="3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30" w:type="dxa"/>
        <w:right w:w="3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30" w:type="dxa"/>
        <w:right w:w="3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30" w:type="dxa"/>
        <w:right w:w="3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30" w:type="dxa"/>
        <w:right w:w="3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30" w:type="dxa"/>
        <w:right w:w="3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300" w:type="dxa"/>
        <w:right w:w="3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IQidC/PWSEkTC1bkDT4aBb/z6/A==">AMUW2mWnxk6CH3yAGsIb8CCFx1TdUz4gFrZVfnvL4ToI7u8LxOMdlQkw+kvmDZsQxM2ClmLZF3d9GCufqhdABb0+e44+VMI5gBkfCSQTjrcvsRSH+qp6DE8NxU5D0G1kM+L2oNDiljft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2198</Words>
  <Characters>12529</Characters>
  <Application>Microsoft Office Word</Application>
  <DocSecurity>0</DocSecurity>
  <Lines>104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Liceo Da Vinci</Company>
  <LinksUpToDate>false</LinksUpToDate>
  <CharactersWithSpaces>14698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Falzoni Marina</dc:creator>
  <cp:lastModifiedBy>DSGA</cp:lastModifiedBy>
  <cp:revision>2</cp:revision>
  <dcterms:created xsi:type="dcterms:W3CDTF">2023-01-24T11:43:00Z</dcterms:created>
  <dcterms:modified xsi:type="dcterms:W3CDTF">2023-01-24T11:43:00Z</dcterms:modified>
</cp:coreProperties>
</file>