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1D3FE9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ANALISI PROGRAMMA ANNUALE</w:t>
            </w:r>
          </w:p>
        </w:tc>
      </w:tr>
      <w:tr w:rsidR="001D3FE9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3FE9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VERBALE N. ......./....</w:t>
            </w:r>
          </w:p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3FE9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Presso l'istituto </w:t>
            </w:r>
            <w:r w:rsidR="00DD431F">
              <w:rPr>
                <w:rFonts w:ascii="Times New Roman" w:hAnsi="Times New Roman" w:cs="Times New Roman"/>
                <w:color w:val="000000"/>
              </w:rPr>
              <w:t>comprensivo</w:t>
            </w:r>
            <w:r>
              <w:rPr>
                <w:rFonts w:ascii="Times New Roman" w:hAnsi="Times New Roman" w:cs="Times New Roman"/>
                <w:color w:val="000000"/>
              </w:rPr>
              <w:t xml:space="preserve"> di </w:t>
            </w:r>
            <w:r w:rsidR="00DD431F">
              <w:rPr>
                <w:rFonts w:ascii="Times New Roman" w:hAnsi="Times New Roman" w:cs="Times New Roman"/>
                <w:color w:val="000000"/>
              </w:rPr>
              <w:t>Argelato</w:t>
            </w:r>
            <w:r>
              <w:rPr>
                <w:rFonts w:ascii="Times New Roman" w:hAnsi="Times New Roman" w:cs="Times New Roman"/>
                <w:color w:val="000000"/>
              </w:rPr>
              <w:t xml:space="preserve">, l'anno </w:t>
            </w:r>
            <w:r w:rsidR="00DD431F">
              <w:rPr>
                <w:rFonts w:ascii="Times New Roman" w:hAnsi="Times New Roman" w:cs="Times New Roman"/>
                <w:color w:val="000000"/>
              </w:rPr>
              <w:t>2024</w:t>
            </w:r>
            <w:r>
              <w:rPr>
                <w:rFonts w:ascii="Times New Roman" w:hAnsi="Times New Roman" w:cs="Times New Roman"/>
                <w:color w:val="000000"/>
              </w:rPr>
              <w:t xml:space="preserve"> il giorno ........., del mese di ........., alle ore ......................., si sono riuniti i Revisori dei Conti dell'ambito ........................</w:t>
            </w:r>
          </w:p>
        </w:tc>
      </w:tr>
      <w:tr w:rsidR="001D3FE9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 riunione si svolge presso ........................</w:t>
            </w:r>
          </w:p>
        </w:tc>
      </w:tr>
      <w:tr w:rsidR="001D3FE9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Revisori sono: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1D3FE9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Assenza/Presenza </w:t>
            </w:r>
          </w:p>
        </w:tc>
      </w:tr>
      <w:tr w:rsidR="001D3FE9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  <w:tr w:rsidR="001D3FE9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dell'Istruzione, dell'Università e della Ricerca (MIUR)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1D3FE9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 Revisori si riuniscono per l'esame del Programma annuale </w:t>
            </w:r>
            <w:r w:rsidR="00BB05F9">
              <w:rPr>
                <w:rFonts w:ascii="Times New Roman" w:hAnsi="Times New Roman" w:cs="Times New Roman"/>
                <w:color w:val="000000"/>
              </w:rPr>
              <w:t>2024</w:t>
            </w:r>
            <w:r>
              <w:rPr>
                <w:rFonts w:ascii="Times New Roman" w:hAnsi="Times New Roman" w:cs="Times New Roman"/>
                <w:color w:val="000000"/>
              </w:rPr>
              <w:t xml:space="preserve"> ai sensi dell'art. 51, comma 1 del Regolamento amministrativo-contabile recato dal D.I. 28 agosto 2018, n. 129 e procedono, pertanto, allo svolgimento dei seguenti controlli:</w:t>
            </w: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Anagrafica</w:t>
      </w:r>
    </w:p>
    <w:p w:rsidR="001D3FE9" w:rsidRDefault="000B5A06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Osservanza norme regolamentari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Programma Annuale (</w:t>
      </w:r>
      <w:proofErr w:type="spellStart"/>
      <w:r>
        <w:rPr>
          <w:rFonts w:ascii="Times New Roman" w:hAnsi="Times New Roman" w:cs="Times New Roman"/>
          <w:color w:val="000000"/>
        </w:rPr>
        <w:t>Mod</w:t>
      </w:r>
      <w:proofErr w:type="spellEnd"/>
      <w:r>
        <w:rPr>
          <w:rFonts w:ascii="Times New Roman" w:hAnsi="Times New Roman" w:cs="Times New Roman"/>
          <w:color w:val="000000"/>
        </w:rPr>
        <w:t>. A)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Esame relazione illustrativa predisposta dal dirigente scolastico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Correttezza modelli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Conformità ai principi di bilancio di cui all'art. 2 del regolamento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Corretta stima dell'avanzo di amministrazione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Coerenza tra i dati previsionali di spesa del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Mod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A e la somma dei dati delle schede finanziarie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Mod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 B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Pareggio Entrate/Spese per attività e progetti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Esatta determinazione del Fondo di riserva (art. 8, comma 1)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Attendibilità delle previsioni di entrata e congruità degli stanziamenti di spesa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Verifica Approvazione PTOF</w:t>
      </w:r>
    </w:p>
    <w:p w:rsidR="001D3FE9" w:rsidRDefault="000B5A06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Individuazione dell'ammontare del Fondo economale per le minute spese ai sensi dell'art. 21 del regolamento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Utilizzo avanzo di amministrazione presunto (</w:t>
      </w:r>
      <w:proofErr w:type="spellStart"/>
      <w:r>
        <w:rPr>
          <w:rFonts w:ascii="Times New Roman" w:hAnsi="Times New Roman" w:cs="Times New Roman"/>
          <w:color w:val="000000"/>
        </w:rPr>
        <w:t>Mod</w:t>
      </w:r>
      <w:proofErr w:type="spellEnd"/>
      <w:r>
        <w:rPr>
          <w:rFonts w:ascii="Times New Roman" w:hAnsi="Times New Roman" w:cs="Times New Roman"/>
          <w:color w:val="000000"/>
        </w:rPr>
        <w:t>. D)</w:t>
      </w:r>
    </w:p>
    <w:p w:rsidR="001D3FE9" w:rsidRDefault="000B5A06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Rispetto del vincolo di destinazione delle somme vincolate confluite nell'avanzo di amministrazione presunto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Generali Scuola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Infanzia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hAnsi="Times New Roman" w:cs="Times New Roman"/>
          <w:color w:val="000000"/>
        </w:rPr>
        <w:t xml:space="preserve">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1D3FE9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sezioni con orario ridotto (a)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sezioni con orario normale (b)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sezioni (c=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Bambini iscritti al 1° settembre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Bambini frequentanti sezioni con orario ridotto (d)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Bambini frequentanti sezioni con orario normale (e)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Totale bambini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frequentanti  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d+e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 cui diversamente abili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Media bambini per sezione (f/c)</w:t>
            </w:r>
          </w:p>
        </w:tc>
      </w:tr>
      <w:tr w:rsidR="001D3FE9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2F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0B5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Generali Scuola Primaria e Secondaria di I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Grado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hAnsi="Times New Roman" w:cs="Times New Roman"/>
          <w:color w:val="000000"/>
        </w:rPr>
        <w:t xml:space="preserve"> la seguente:</w:t>
      </w:r>
    </w:p>
    <w:p w:rsidR="00E60149" w:rsidRDefault="00E601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48"/>
        <w:gridCol w:w="848"/>
        <w:gridCol w:w="848"/>
        <w:gridCol w:w="847"/>
        <w:gridCol w:w="847"/>
        <w:gridCol w:w="847"/>
        <w:gridCol w:w="847"/>
        <w:gridCol w:w="741"/>
        <w:gridCol w:w="741"/>
        <w:gridCol w:w="741"/>
        <w:gridCol w:w="741"/>
        <w:gridCol w:w="741"/>
      </w:tblGrid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 funzionanti con 24 ore (a)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 funzionanti a tempo pieno/prolungato (40/36 ore) (c)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classi (d=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a+b+c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Alunni frequentanti classi funzionanti con 24 ore (f)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Alunni frequentanti classi funzionanti a tempo pieno/prolungato (40/36 ore) (h)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 alunni frequentanti (i=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f+g+h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Di cui diversamente abili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Media alunni per classe (i/d)</w:t>
            </w: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925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B5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6C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23,33</w:t>
            </w: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6C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20,75</w:t>
            </w: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6C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16,5</w:t>
            </w: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Quarte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6C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16,40</w:t>
            </w: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Quinte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6C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6C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76,98</w:t>
            </w:r>
            <w:bookmarkStart w:id="0" w:name="_GoBack"/>
            <w:bookmarkEnd w:id="0"/>
          </w:p>
        </w:tc>
      </w:tr>
      <w:tr w:rsidR="001D3FE9">
        <w:trPr>
          <w:jc w:val="center"/>
        </w:trPr>
        <w:tc>
          <w:tcPr>
            <w:tcW w:w="105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AD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D3FE9">
        <w:trPr>
          <w:jc w:val="center"/>
        </w:trPr>
        <w:tc>
          <w:tcPr>
            <w:tcW w:w="105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23,67</w:t>
            </w: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21,5</w:t>
            </w: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0B5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D3FE9">
        <w:trPr>
          <w:jc w:val="center"/>
        </w:trPr>
        <w:tc>
          <w:tcPr>
            <w:tcW w:w="105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3FE9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365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65,42</w:t>
            </w:r>
          </w:p>
        </w:tc>
      </w:tr>
      <w:tr w:rsidR="001D3FE9">
        <w:trPr>
          <w:jc w:val="center"/>
        </w:trPr>
        <w:tc>
          <w:tcPr>
            <w:tcW w:w="105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Generali Scuola Secondaria di II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Grado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hAnsi="Times New Roman" w:cs="Times New Roman"/>
          <w:color w:val="000000"/>
        </w:rPr>
        <w:t xml:space="preserve"> la seguente: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N. indirizzi/percorsi liceali presenti: .........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N. classi </w:t>
      </w:r>
      <w:proofErr w:type="gramStart"/>
      <w:r>
        <w:rPr>
          <w:rFonts w:ascii="Times New Roman" w:hAnsi="Times New Roman" w:cs="Times New Roman"/>
          <w:color w:val="000000"/>
        </w:rPr>
        <w:t xml:space="preserve">articolate:   </w:t>
      </w:r>
      <w:proofErr w:type="gramEnd"/>
      <w:r>
        <w:rPr>
          <w:rFonts w:ascii="Times New Roman" w:hAnsi="Times New Roman" w:cs="Times New Roman"/>
          <w:color w:val="000000"/>
        </w:rPr>
        <w:t>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56"/>
        <w:gridCol w:w="656"/>
        <w:gridCol w:w="874"/>
        <w:gridCol w:w="764"/>
        <w:gridCol w:w="764"/>
        <w:gridCol w:w="764"/>
        <w:gridCol w:w="764"/>
        <w:gridCol w:w="873"/>
        <w:gridCol w:w="655"/>
        <w:gridCol w:w="873"/>
        <w:gridCol w:w="873"/>
        <w:gridCol w:w="764"/>
        <w:gridCol w:w="764"/>
      </w:tblGrid>
      <w:tr w:rsidR="001D3FE9">
        <w:trPr>
          <w:jc w:val="center"/>
        </w:trPr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Classi/Sezioni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Alunni Iscritti</w:t>
            </w:r>
          </w:p>
        </w:tc>
        <w:tc>
          <w:tcPr>
            <w:tcW w:w="62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Alunni frequentanti</w:t>
            </w:r>
          </w:p>
        </w:tc>
      </w:tr>
      <w:tr w:rsidR="001D3FE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 corsi diurni (a)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 corsi serali (b)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classi (c=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Alunni iscritti al 1°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settembre  corsi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diurni (d)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Alunni iscritti al 1°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settembre  corsi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serali (e)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Alunni frequentanti classi corsi diurni (f)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Alunni frequentanti classi corsi serali (g)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alunni frequentanti (h=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f+g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 cui div. abili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Differenza tra alunni iscritti al 1° settembre e alunni frequentanti corsi diurni (i=d-f)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Differenza tra alunni iscritti al 1° settembre e alunni frequentanti corsi serali (l=e-g)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Media alunni per classe corsi diurni (f/a)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Media alunni per classe corsi serali (g/b)</w:t>
            </w:r>
          </w:p>
        </w:tc>
      </w:tr>
      <w:tr w:rsidR="001D3FE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D3FE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D3FE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D3FE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Quarte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D3FE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Quinte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D3FE9">
        <w:trPr>
          <w:jc w:val="center"/>
        </w:trPr>
        <w:tc>
          <w:tcPr>
            <w:tcW w:w="1049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3FE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D3FE9">
        <w:trPr>
          <w:jc w:val="center"/>
        </w:trPr>
        <w:tc>
          <w:tcPr>
            <w:tcW w:w="1049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Generali Centri Provinciali per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l¿Istruzione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degli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Adulti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hAnsi="Times New Roman" w:cs="Times New Roman"/>
          <w:color w:val="000000"/>
        </w:rPr>
        <w:t xml:space="preserve">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1695"/>
        <w:gridCol w:w="1800"/>
        <w:gridCol w:w="1800"/>
        <w:gridCol w:w="1800"/>
        <w:gridCol w:w="1800"/>
      </w:tblGrid>
      <w:tr w:rsidR="001D3FE9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non terminali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terminali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classi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(c=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 alunni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iscritti al 16 ottobre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 alunni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frequentanti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(e)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 cui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diversamente abili</w:t>
            </w:r>
          </w:p>
        </w:tc>
      </w:tr>
      <w:tr w:rsidR="001D3FE9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Personale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di riferimento: 31 ottobre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DIRIGENTE SCOLASTICO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N.B. in presenza di cattedra o posto esterno il docente va rilevato solo dalla scuola di titolarità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di sostegno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di sostegno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su posto normale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sostegno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sostegno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B5A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religione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religione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religione incaricati annuali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su posto normale con contratto a tempo determinato su spezzone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sostegno con contratto a tempo determinato su spezzone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*da censire solo presso la 1° scuola che stipula il primo contratto nel caso in cui il docente abbia più spezzoni e quindi abbia stipulato diversi contratti con altrettante scuole.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TOTALE PERSONALE DOCENTE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N.B. il personale ATA va rilevato solo dalla scuola di titolarità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Direttore dei Servizi Generali ed Amministrativi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Direttore dei Servizi Generali ed Amministrativi a tempo 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Coordinatore Amministrativo e Tecnico e/o Responsabile amministrativo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Amministrativi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Amministrativi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Amministrativi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Tecnici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Tecnici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Tecnici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dei servizi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altri profili (guardarobiere, cuoco, infermiere)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Personale altri profili (guardarobiere, cuoco, infermiere)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altri profili (guardarobiere, cuoco, infermiere)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ATA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3FE9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TOTALE PERSONALE ATA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E6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Si rilevano, altresì, n. </w:t>
      </w:r>
      <w:r w:rsidR="006C5BDF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 xml:space="preserve"> unità di personale estraneo all'amministrazione che espleta il servizio di pulizia degli spazi e dei locali ivi compreso quello beneficiario delle disposizioni contemplate dal decreto interministeriale 20 aprile 2001, n. 65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Programma Annuale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A)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Le previsioni di competenza del programma annuale si sintetizzano nei seguenti dati: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84"/>
        <w:gridCol w:w="3707"/>
      </w:tblGrid>
      <w:tr w:rsidR="001D3FE9">
        <w:trPr>
          <w:jc w:val="center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ENTRATE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01-Avanzo di amministrazione presunto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136450">
              <w:rPr>
                <w:rFonts w:ascii="Arial" w:hAnsi="Arial" w:cs="Arial"/>
                <w:b/>
                <w:bCs/>
                <w:sz w:val="17"/>
                <w:szCs w:val="17"/>
              </w:rPr>
              <w:t>200.894,25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02-Finanziamenti dall'Unione Europea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03-Finanziamenti dello Stato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231AC9">
              <w:rPr>
                <w:rFonts w:ascii="Arial" w:hAnsi="Arial" w:cs="Arial"/>
                <w:b/>
                <w:bCs/>
                <w:sz w:val="17"/>
                <w:szCs w:val="17"/>
              </w:rPr>
              <w:t>12.675,33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04-Finanziamenti della Regione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05-Finanziamenti da Enti locali o da altre Istituzioni pubbliche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231AC9">
              <w:rPr>
                <w:rFonts w:ascii="Arial" w:hAnsi="Arial" w:cs="Arial"/>
                <w:b/>
                <w:bCs/>
                <w:sz w:val="17"/>
                <w:szCs w:val="17"/>
              </w:rPr>
              <w:t>36.926,77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06-Contributi da privati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07-Proventi da gestioni economiche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08-Rimborsi e restituzione somme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09-Alienazione di beni materiali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10-Alienazione di beni immateriali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11-Sponsor e utilizzo locali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12-Altre entrate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13-Mutui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TOTALE ENTRATE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231AC9" w:rsidRPr="00231AC9">
              <w:rPr>
                <w:rFonts w:ascii="Arial" w:hAnsi="Arial" w:cs="Arial"/>
                <w:b/>
                <w:sz w:val="17"/>
                <w:szCs w:val="17"/>
              </w:rPr>
              <w:t>250.496,35</w:t>
            </w:r>
          </w:p>
        </w:tc>
      </w:tr>
      <w:tr w:rsidR="001D3FE9">
        <w:trPr>
          <w:jc w:val="center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SPESE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Attività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A01-Funzionamento generale e decoro della Scuola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231AC9">
              <w:rPr>
                <w:rFonts w:ascii="Arial" w:hAnsi="Arial" w:cs="Arial"/>
                <w:sz w:val="17"/>
                <w:szCs w:val="17"/>
              </w:rPr>
              <w:t>45.011,66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A02-Funzionamento amministrativo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231AC9">
              <w:rPr>
                <w:rFonts w:ascii="Arial" w:hAnsi="Arial" w:cs="Arial"/>
                <w:sz w:val="17"/>
                <w:szCs w:val="17"/>
              </w:rPr>
              <w:t>20.186,44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A03-Didattica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231AC9">
              <w:rPr>
                <w:rFonts w:ascii="Arial" w:hAnsi="Arial" w:cs="Arial"/>
                <w:sz w:val="17"/>
                <w:szCs w:val="17"/>
              </w:rPr>
              <w:t>37.737,84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A04-Alternanza Scuola-Lavoro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A05-Visite, viaggi e programmi di studio all’estero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1AC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231AC9">
              <w:rPr>
                <w:rFonts w:ascii="Arial" w:hAnsi="Arial" w:cs="Arial"/>
                <w:sz w:val="17"/>
                <w:szCs w:val="17"/>
              </w:rPr>
              <w:t>34.610,25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A06-Attività di orientamento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1AC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231AC9">
              <w:rPr>
                <w:rFonts w:ascii="Arial" w:hAnsi="Arial" w:cs="Arial"/>
                <w:sz w:val="17"/>
                <w:szCs w:val="17"/>
              </w:rPr>
              <w:t>761,37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Progetti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P01-Progetti in ambito "Scientifico, tecnico e professionale"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0E40CE" w:rsidRPr="000E40CE">
              <w:rPr>
                <w:rFonts w:ascii="Times New Roman" w:hAnsi="Times New Roman" w:cs="Times New Roman"/>
                <w:color w:val="000000"/>
              </w:rPr>
              <w:t>28.482,09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P02-Progetti in ambito "Umanistico e sociale"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484DF9" w:rsidRPr="00484DF9">
              <w:rPr>
                <w:rFonts w:ascii="Times New Roman" w:hAnsi="Times New Roman" w:cs="Times New Roman"/>
                <w:color w:val="000000"/>
              </w:rPr>
              <w:t>71.775,99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P03-Progetti per "Certificazioni e corsi professionali"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P04-Progetti per "Formazione / aggiornamento personale"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484DF9" w:rsidRPr="00484DF9">
              <w:rPr>
                <w:rFonts w:ascii="Times New Roman" w:hAnsi="Times New Roman" w:cs="Times New Roman"/>
                <w:color w:val="000000"/>
              </w:rPr>
              <w:t>10.663,18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P05-Progetti per "Gare e concorsi"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Gestioni economiche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G01-Azienda agraria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G02-Azienda speciale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G03-Attività per conto terzi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G04-Attività convittuale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R98-Fondo di Riserva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484DF9" w:rsidRPr="00484DF9">
              <w:rPr>
                <w:rFonts w:ascii="Times New Roman" w:hAnsi="Times New Roman" w:cs="Times New Roman"/>
                <w:color w:val="000000"/>
              </w:rPr>
              <w:t>1.267,53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D100-Disavanzo di amministrazione presunto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TOTALE SPESE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484DF9" w:rsidRPr="00484DF9">
              <w:rPr>
                <w:rFonts w:ascii="Times New Roman" w:hAnsi="Times New Roman" w:cs="Times New Roman"/>
                <w:color w:val="000000"/>
              </w:rPr>
              <w:t>250.496,35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Z101-Disponibilità finanziaria da programmare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TOTALE A PAREGGIO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484DF9" w:rsidRPr="00484DF9">
              <w:rPr>
                <w:rFonts w:ascii="Times New Roman" w:hAnsi="Times New Roman" w:cs="Times New Roman"/>
                <w:color w:val="000000"/>
              </w:rPr>
              <w:t>250.496,35</w:t>
            </w: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Verifica Situazione Amministrativa Presunta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Il programma annuale espone un avanzo/disavanzo di amministrazione presunto di Euro </w:t>
      </w:r>
      <w:r w:rsidR="00985BCA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>0</w:t>
      </w:r>
      <w:r w:rsidR="00985BCA">
        <w:rPr>
          <w:rFonts w:ascii="Times New Roman" w:hAnsi="Times New Roman" w:cs="Times New Roman"/>
          <w:color w:val="000000"/>
        </w:rPr>
        <w:t>.</w:t>
      </w:r>
      <w:r w:rsidR="00E86572">
        <w:rPr>
          <w:rFonts w:ascii="Times New Roman" w:hAnsi="Times New Roman" w:cs="Times New Roman"/>
          <w:color w:val="000000"/>
        </w:rPr>
        <w:t>894</w:t>
      </w:r>
      <w:r>
        <w:rPr>
          <w:rFonts w:ascii="Times New Roman" w:hAnsi="Times New Roman" w:cs="Times New Roman"/>
          <w:color w:val="000000"/>
        </w:rPr>
        <w:t>,</w:t>
      </w:r>
      <w:r w:rsidR="00E86572">
        <w:rPr>
          <w:rFonts w:ascii="Times New Roman" w:hAnsi="Times New Roman" w:cs="Times New Roman"/>
          <w:color w:val="000000"/>
        </w:rPr>
        <w:t>25</w:t>
      </w:r>
      <w:r>
        <w:rPr>
          <w:rFonts w:ascii="Times New Roman" w:hAnsi="Times New Roman" w:cs="Times New Roman"/>
          <w:color w:val="000000"/>
        </w:rPr>
        <w:t xml:space="preserve">, come riportato nel </w:t>
      </w:r>
      <w:proofErr w:type="spellStart"/>
      <w:r>
        <w:rPr>
          <w:rFonts w:ascii="Times New Roman" w:hAnsi="Times New Roman" w:cs="Times New Roman"/>
          <w:color w:val="000000"/>
        </w:rPr>
        <w:t>Mod</w:t>
      </w:r>
      <w:proofErr w:type="spellEnd"/>
      <w:r>
        <w:rPr>
          <w:rFonts w:ascii="Times New Roman" w:hAnsi="Times New Roman" w:cs="Times New Roman"/>
          <w:color w:val="000000"/>
        </w:rPr>
        <w:t>. C.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Utilizzo avanzo di amministrazione presunto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D)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L'avanzo di amministrazione presunto risulta così assegnato ai vari aggregati di spesa e progetti come riportato nel modello D: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7"/>
        <w:gridCol w:w="2118"/>
        <w:gridCol w:w="2118"/>
        <w:gridCol w:w="2118"/>
      </w:tblGrid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UTILIZZO AVANZO AMMINISTRAZIONE PRESUNTO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IMPORTO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VINCOLATO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IMPORTO</w:t>
            </w:r>
          </w:p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 VINCOLATO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Attività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Pr="00E86572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86572">
              <w:rPr>
                <w:rFonts w:ascii="Times New Roman" w:hAnsi="Times New Roman" w:cs="Times New Roman"/>
                <w:b/>
                <w:color w:val="000000"/>
              </w:rPr>
              <w:t xml:space="preserve">€ 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117.063</w:t>
            </w:r>
            <w:r w:rsidRPr="00E86572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Pr="00E86572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86572">
              <w:rPr>
                <w:rFonts w:ascii="Times New Roman" w:hAnsi="Times New Roman" w:cs="Times New Roman"/>
                <w:b/>
                <w:color w:val="000000"/>
              </w:rPr>
              <w:t xml:space="preserve">€ 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E86572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9.111</w:t>
            </w:r>
            <w:r w:rsidRPr="00E86572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E86572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Pr="00E86572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86572">
              <w:rPr>
                <w:rFonts w:ascii="Times New Roman" w:hAnsi="Times New Roman" w:cs="Times New Roman"/>
                <w:b/>
                <w:color w:val="000000"/>
              </w:rPr>
              <w:t xml:space="preserve">€ 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7.952</w:t>
            </w:r>
            <w:r w:rsidRPr="00E86572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A01-Funzionamento generale e decoro della Scuola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37.373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  <w:r w:rsidR="00E8657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33.533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3.839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A02-Funzionamento amministrativo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13.383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11.270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2.113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A03-Didattica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E86572">
              <w:rPr>
                <w:rFonts w:ascii="Times New Roman" w:hAnsi="Times New Roman" w:cs="Times New Roman"/>
                <w:color w:val="000000"/>
              </w:rPr>
              <w:t>.935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28.935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2.00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A04-Alternanza Scuola-Lavoro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A05-Visite, viaggi e programmi di studio all’estero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34.610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34.610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A06-Attività di orientamento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761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E86572">
              <w:rPr>
                <w:rFonts w:ascii="Times New Roman" w:hAnsi="Times New Roman" w:cs="Times New Roman"/>
                <w:color w:val="000000"/>
              </w:rPr>
              <w:t>761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8657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Progetti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Pr="00E86572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86572">
              <w:rPr>
                <w:rFonts w:ascii="Times New Roman" w:hAnsi="Times New Roman" w:cs="Times New Roman"/>
                <w:b/>
                <w:color w:val="000000"/>
              </w:rPr>
              <w:t xml:space="preserve">€ 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83.830</w:t>
            </w:r>
            <w:r w:rsidRPr="00E86572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Pr="00E86572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86572">
              <w:rPr>
                <w:rFonts w:ascii="Times New Roman" w:hAnsi="Times New Roman" w:cs="Times New Roman"/>
                <w:b/>
                <w:color w:val="000000"/>
              </w:rPr>
              <w:t xml:space="preserve">€ 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81.830</w:t>
            </w:r>
            <w:r w:rsidRPr="00E86572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Pr="00E86572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86572">
              <w:rPr>
                <w:rFonts w:ascii="Times New Roman" w:hAnsi="Times New Roman" w:cs="Times New Roman"/>
                <w:b/>
                <w:color w:val="000000"/>
              </w:rPr>
              <w:t xml:space="preserve">€ </w:t>
            </w:r>
            <w:r w:rsidR="00E86572" w:rsidRPr="00E86572">
              <w:rPr>
                <w:rFonts w:ascii="Times New Roman" w:hAnsi="Times New Roman" w:cs="Times New Roman"/>
                <w:b/>
                <w:color w:val="000000"/>
              </w:rPr>
              <w:t>2.00</w:t>
            </w:r>
            <w:r w:rsidRPr="00E86572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P01-Progetti in ambito "Scientifico, tecnico e professionale"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B91E19">
              <w:rPr>
                <w:rFonts w:ascii="Times New Roman" w:hAnsi="Times New Roman" w:cs="Times New Roman"/>
                <w:color w:val="000000"/>
              </w:rPr>
              <w:t>17.482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  <w:r w:rsidR="00B91E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B91E19">
              <w:rPr>
                <w:rFonts w:ascii="Times New Roman" w:hAnsi="Times New Roman" w:cs="Times New Roman"/>
                <w:color w:val="000000"/>
              </w:rPr>
              <w:t>17.482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  <w:r w:rsidR="00B91E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P02-Progetti in ambito "Umanistico e sociale"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B91E19">
              <w:rPr>
                <w:rFonts w:ascii="Times New Roman" w:hAnsi="Times New Roman" w:cs="Times New Roman"/>
                <w:color w:val="000000"/>
              </w:rPr>
              <w:t>55.685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B91E1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B91E19" w:rsidRPr="00B91E19">
              <w:rPr>
                <w:rFonts w:ascii="Times New Roman" w:hAnsi="Times New Roman" w:cs="Times New Roman"/>
                <w:color w:val="000000"/>
              </w:rPr>
              <w:t>55.685,22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B91E19">
              <w:rPr>
                <w:rFonts w:ascii="Times New Roman" w:hAnsi="Times New Roman" w:cs="Times New Roman"/>
                <w:color w:val="000000"/>
              </w:rPr>
              <w:t>2.00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P03-Progetti per "Certificazioni e corsi professionali"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P04-Progetti per "Formazione / aggiornamento personale"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B91E1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B91E19">
              <w:rPr>
                <w:rFonts w:ascii="Times New Roman" w:hAnsi="Times New Roman" w:cs="Times New Roman"/>
                <w:color w:val="000000"/>
              </w:rPr>
              <w:t>.663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B91E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€ </w:t>
            </w:r>
            <w:r w:rsidR="00B91E1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B91E19">
              <w:rPr>
                <w:rFonts w:ascii="Times New Roman" w:hAnsi="Times New Roman" w:cs="Times New Roman"/>
                <w:color w:val="000000"/>
              </w:rPr>
              <w:t>.663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B91E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P05-Progetti per "Gare e concorsi"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Gestioni economiche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G01-Azienda agraria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G02-Azienda speciale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G03-Attività per conto terzi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G04-Attività convittuale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€ 0,00</w:t>
            </w:r>
          </w:p>
        </w:tc>
      </w:tr>
      <w:tr w:rsidR="001D3FE9"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TOTALE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Pr="00BB05F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B05F9">
              <w:rPr>
                <w:rFonts w:ascii="Times New Roman" w:hAnsi="Times New Roman" w:cs="Times New Roman"/>
                <w:b/>
                <w:color w:val="000000"/>
              </w:rPr>
              <w:t xml:space="preserve">€ </w:t>
            </w:r>
            <w:r w:rsidR="00BB05F9" w:rsidRPr="00BB05F9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BB05F9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="00BB05F9" w:rsidRPr="00BB05F9">
              <w:rPr>
                <w:rFonts w:ascii="Times New Roman" w:hAnsi="Times New Roman" w:cs="Times New Roman"/>
                <w:b/>
                <w:color w:val="000000"/>
              </w:rPr>
              <w:t>0.894</w:t>
            </w:r>
            <w:r w:rsidRPr="00BB05F9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BB05F9" w:rsidRPr="00BB05F9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Pr="00BB05F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B05F9">
              <w:rPr>
                <w:rFonts w:ascii="Times New Roman" w:hAnsi="Times New Roman" w:cs="Times New Roman"/>
                <w:b/>
                <w:color w:val="000000"/>
              </w:rPr>
              <w:t xml:space="preserve">€ </w:t>
            </w:r>
            <w:r w:rsidR="00BB05F9" w:rsidRPr="00BB05F9">
              <w:rPr>
                <w:rFonts w:ascii="Times New Roman" w:hAnsi="Times New Roman" w:cs="Times New Roman"/>
                <w:b/>
                <w:color w:val="000000"/>
              </w:rPr>
              <w:t>190.941</w:t>
            </w:r>
            <w:r w:rsidRPr="00BB05F9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BB05F9" w:rsidRPr="00BB05F9">
              <w:rPr>
                <w:rFonts w:ascii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3FE9" w:rsidRPr="00BB05F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B05F9">
              <w:rPr>
                <w:rFonts w:ascii="Times New Roman" w:hAnsi="Times New Roman" w:cs="Times New Roman"/>
                <w:b/>
                <w:color w:val="000000"/>
              </w:rPr>
              <w:t xml:space="preserve">€ </w:t>
            </w:r>
            <w:r w:rsidR="00BB05F9" w:rsidRPr="00BB05F9">
              <w:rPr>
                <w:rFonts w:ascii="Times New Roman" w:hAnsi="Times New Roman" w:cs="Times New Roman"/>
                <w:b/>
                <w:color w:val="000000"/>
              </w:rPr>
              <w:t>9.952</w:t>
            </w:r>
            <w:r w:rsidRPr="00BB05F9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BB05F9" w:rsidRPr="00BB05F9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</w:tr>
    </w:tbl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 fa presente che, come previsto dall'art.7 del Regolamento, detti stanziamenti possono essere impegnati solamente </w:t>
      </w:r>
      <w:r>
        <w:rPr>
          <w:rFonts w:ascii="Times New Roman" w:hAnsi="Times New Roman" w:cs="Times New Roman"/>
          <w:color w:val="000000"/>
        </w:rPr>
        <w:lastRenderedPageBreak/>
        <w:t>dopo la realizzazione dell'effettiva disponibilità finanziaria e nei limiti dell'avanzo effettivamente realizzato.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(Accertamenti negativi)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risultano osservate le norme regolamentari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La relazione illustrativa predisposta dal dirigente scolastico è carente nei contenuti richiesti dall'art. 5, comma 7, del regolamento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inesattezze nei modelli del Programma Annuale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Programma Annuale non è conforme ai principi di bilancio di cui all'art. 2 del regolamento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L'avanzo d'amministrazione non è correttamente stimato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incoerenze tra i dati previsionali di spesa del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Mod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A e la somma dei dati delle schede finanziarie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Mod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 B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presente pareggio Entrate/Spese per attività e progetti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presente un'esatta determinazione del Fondo di riserva (art. 8, comma 1)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inattendibilità delle previsioni di entrata e/o incongruità degli stanziamenti di spesa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PTOF non è stato approvato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risulta corretta la procedura di costituzione del Fondo economale per le minute spese, ai sensi dell'art. 21, commi 1 e 2</w:t>
      </w:r>
    </w:p>
    <w:p w:rsidR="001D3FE9" w:rsidRDefault="000B5A06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stato rispettato il vincolo di destinazione delle somme vincolate confluite nell'avanzo di amministrazione presunto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(Accertamenti positivi)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Risultano osservate le norme regolamentari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La relazione illustrativa predisposta dal dirigente scolastico è esaustiva nei contenuti richiesti dall'art. 5, comma 7, del regolamento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presenti inesattezze nei modelli del Programma Annuale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Programma Annuale è conforme ai principi di bilancio di cui all'art. 2 del regolamento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L'avanzo d'amministrazione è correttamente stimato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presenti incoerenze tra i dati previsionali di spesa del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Mod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A e la somma dei dati delle schede finanziarie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Mod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 B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E'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presente pareggio Entrate/Spese per attività e progetti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E'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presente un'esatta determinazione del Fondo di riserva (art. 8, comma 1)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presenti inattendibilità delle previsioni di entrata e/o incongruità degli stanziamenti di spesa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PTOF è stato approvato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Risulta corretta la procedura di costituzione del Fondo economale per le minute spese, ai sensi dell'art. 21, commi 1 e 2</w:t>
      </w:r>
    </w:p>
    <w:p w:rsidR="001D3FE9" w:rsidRDefault="000B5A06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E'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stato rispettato il vincolo di destinazione delle somme vincolate confluite nell'avanzo di amministrazione presunto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Conclusioni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Revisori dei conti, prendendo atto del contenuto dell'apposita relazione predisposta dal Dirigente scolastico con riferimento agli obiettivi che l'istituzione scolastica intende realizzare nell'anno</w:t>
      </w:r>
      <w:r w:rsidR="00BB05F9">
        <w:rPr>
          <w:rFonts w:ascii="Times New Roman" w:hAnsi="Times New Roman" w:cs="Times New Roman"/>
          <w:color w:val="000000"/>
        </w:rPr>
        <w:t xml:space="preserve"> 2024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nonchè</w:t>
      </w:r>
      <w:proofErr w:type="spellEnd"/>
      <w:r>
        <w:rPr>
          <w:rFonts w:ascii="Times New Roman" w:hAnsi="Times New Roman" w:cs="Times New Roman"/>
          <w:color w:val="000000"/>
        </w:rPr>
        <w:t xml:space="preserve"> della documentazione esaminata, ritengono di poter esprimere parere favorevole di regolarità contabile sul Programma Annuale </w:t>
      </w:r>
      <w:r w:rsidR="00BB05F9">
        <w:rPr>
          <w:rFonts w:ascii="Times New Roman" w:hAnsi="Times New Roman" w:cs="Times New Roman"/>
          <w:color w:val="000000"/>
        </w:rPr>
        <w:t>2024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oppure</w:t>
      </w:r>
    </w:p>
    <w:p w:rsidR="001D3FE9" w:rsidRDefault="001D3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Revisori dei conti, in relazione a quanto sopra esposto, ritengono di non poter esprimere parere favorevole di regolarità contabile sul Programma Annuale ________</w:t>
      </w:r>
    </w:p>
    <w:p w:rsidR="001D3FE9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1D3FE9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3FE9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1D3FE9" w:rsidRDefault="000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1D3FE9" w:rsidRDefault="001D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B5A06" w:rsidRDefault="000B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0B5A06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31F" w:rsidRDefault="00DD431F">
      <w:pPr>
        <w:spacing w:after="0" w:line="240" w:lineRule="auto"/>
      </w:pPr>
      <w:r>
        <w:separator/>
      </w:r>
    </w:p>
  </w:endnote>
  <w:endnote w:type="continuationSeparator" w:id="0">
    <w:p w:rsidR="00DD431F" w:rsidRDefault="00DD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1F" w:rsidRDefault="00DD431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i/>
        <w:iCs/>
        <w:color w:val="000000"/>
        <w:sz w:val="20"/>
        <w:szCs w:val="20"/>
      </w:rPr>
      <w:t xml:space="preserve"> </w: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31F" w:rsidRDefault="00DD431F">
      <w:pPr>
        <w:spacing w:after="0" w:line="240" w:lineRule="auto"/>
      </w:pPr>
      <w:r>
        <w:separator/>
      </w:r>
    </w:p>
  </w:footnote>
  <w:footnote w:type="continuationSeparator" w:id="0">
    <w:p w:rsidR="00DD431F" w:rsidRDefault="00DD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1F" w:rsidRDefault="00DD431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28670"/>
    <w:multiLevelType w:val="multilevel"/>
    <w:tmpl w:val="6365041C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0D365"/>
    <w:multiLevelType w:val="multilevel"/>
    <w:tmpl w:val="7A8A1F9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8E3F17"/>
    <w:multiLevelType w:val="multilevel"/>
    <w:tmpl w:val="6CA61903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92A86F"/>
    <w:multiLevelType w:val="multilevel"/>
    <w:tmpl w:val="11B7511F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C53BAB"/>
    <w:multiLevelType w:val="multilevel"/>
    <w:tmpl w:val="75B307FC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B2"/>
    <w:rsid w:val="000B5A06"/>
    <w:rsid w:val="000E40CE"/>
    <w:rsid w:val="00136450"/>
    <w:rsid w:val="001D3FE9"/>
    <w:rsid w:val="001E2A69"/>
    <w:rsid w:val="00231AC9"/>
    <w:rsid w:val="0028263D"/>
    <w:rsid w:val="002F6E79"/>
    <w:rsid w:val="00365502"/>
    <w:rsid w:val="00484DF9"/>
    <w:rsid w:val="006C52FE"/>
    <w:rsid w:val="006C5BDF"/>
    <w:rsid w:val="007B73B2"/>
    <w:rsid w:val="00985BCA"/>
    <w:rsid w:val="009A1E37"/>
    <w:rsid w:val="00A73A9F"/>
    <w:rsid w:val="00AD438E"/>
    <w:rsid w:val="00AD4925"/>
    <w:rsid w:val="00B91E19"/>
    <w:rsid w:val="00BB05F9"/>
    <w:rsid w:val="00D57BF0"/>
    <w:rsid w:val="00DD431F"/>
    <w:rsid w:val="00E60149"/>
    <w:rsid w:val="00E86572"/>
    <w:rsid w:val="00F2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3D058"/>
  <w14:defaultImageDpi w14:val="0"/>
  <w15:docId w15:val="{A80DA8C4-E97F-49CB-A13F-DFA2A0E7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4362</TotalTime>
  <Pages>8</Pages>
  <Words>2122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Falzoni Marina</dc:creator>
  <cp:keywords/>
  <dc:description/>
  <cp:lastModifiedBy>DSGA</cp:lastModifiedBy>
  <cp:revision>7</cp:revision>
  <dcterms:created xsi:type="dcterms:W3CDTF">2024-01-12T12:40:00Z</dcterms:created>
  <dcterms:modified xsi:type="dcterms:W3CDTF">2024-01-15T13:27:00Z</dcterms:modified>
</cp:coreProperties>
</file>