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5BD" w:rsidRDefault="002C1A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  <w:u w:val="single"/>
        </w:rPr>
      </w:pPr>
      <w:bookmarkStart w:id="0" w:name="_GoBack"/>
      <w:bookmarkEnd w:id="0"/>
      <w:r>
        <w:rPr>
          <w:rFonts w:ascii="Calibri" w:eastAsia="Calibri" w:hAnsi="Calibri"/>
          <w:b/>
          <w:i/>
          <w:color w:val="000000"/>
          <w:sz w:val="22"/>
          <w:szCs w:val="22"/>
          <w:u w:val="single"/>
        </w:rPr>
        <w:t xml:space="preserve"> ALLEGATO B TABELLA DI VALUTAZIONE</w:t>
      </w:r>
    </w:p>
    <w:p w:rsidR="001805BD" w:rsidRDefault="002C1A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  <w:u w:val="single"/>
        </w:rPr>
      </w:pPr>
      <w:r>
        <w:rPr>
          <w:rFonts w:ascii="Calibri" w:eastAsia="Calibri" w:hAnsi="Calibri"/>
          <w:b/>
          <w:i/>
          <w:color w:val="000000"/>
          <w:sz w:val="22"/>
          <w:szCs w:val="22"/>
          <w:u w:val="single"/>
        </w:rPr>
        <w:t xml:space="preserve">             </w:t>
      </w:r>
    </w:p>
    <w:p w:rsidR="001805BD" w:rsidRDefault="002C1A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b/>
          <w:i/>
          <w:color w:val="000000"/>
          <w:sz w:val="22"/>
          <w:szCs w:val="22"/>
        </w:rPr>
        <w:t xml:space="preserve">                                                                       COMPITI DELL’ESPERTO</w:t>
      </w:r>
    </w:p>
    <w:p w:rsidR="001805BD" w:rsidRDefault="001805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</w:p>
    <w:p w:rsidR="001805BD" w:rsidRDefault="002C1A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i/>
          <w:color w:val="000000"/>
          <w:sz w:val="22"/>
          <w:szCs w:val="22"/>
        </w:rPr>
        <w:t>L’esperto/docente, si impegna a svolgere i seguenti compiti:</w:t>
      </w:r>
    </w:p>
    <w:p w:rsidR="001805BD" w:rsidRDefault="002C1A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i/>
          <w:color w:val="000000"/>
          <w:sz w:val="22"/>
          <w:szCs w:val="22"/>
        </w:rPr>
        <w:t>Firmare il registro giornaliero su cui indicare gli argomenti del giorno divisi in teorici e pratici</w:t>
      </w:r>
    </w:p>
    <w:p w:rsidR="001805BD" w:rsidRDefault="002C1A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i/>
          <w:color w:val="000000"/>
          <w:sz w:val="22"/>
          <w:szCs w:val="22"/>
        </w:rPr>
        <w:t>Seguire scrupolosamente quanto previsto dal contratto formativo o regolamento del corso</w:t>
      </w:r>
    </w:p>
    <w:p w:rsidR="001805BD" w:rsidRDefault="002C1A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i/>
          <w:color w:val="000000"/>
          <w:sz w:val="22"/>
          <w:szCs w:val="22"/>
        </w:rPr>
        <w:t xml:space="preserve">Partecipare, quando richiesto, alle riunioni indette dal Gruppo di </w:t>
      </w:r>
      <w:r>
        <w:rPr>
          <w:rFonts w:ascii="Calibri" w:eastAsia="Calibri" w:hAnsi="Calibri"/>
          <w:i/>
          <w:color w:val="000000"/>
          <w:sz w:val="22"/>
          <w:szCs w:val="22"/>
        </w:rPr>
        <w:t xml:space="preserve">Coordinamento di progetto  </w:t>
      </w:r>
    </w:p>
    <w:p w:rsidR="001805BD" w:rsidRDefault="002C1A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i/>
          <w:color w:val="000000"/>
          <w:sz w:val="22"/>
          <w:szCs w:val="22"/>
        </w:rPr>
        <w:t>Comunicare preventivamente eventuali impedimenti all’attività di docenza per eventuale tempestiva rimodulazione del calendario</w:t>
      </w:r>
    </w:p>
    <w:p w:rsidR="001805BD" w:rsidRDefault="002C1A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i/>
          <w:color w:val="000000"/>
          <w:sz w:val="22"/>
          <w:szCs w:val="22"/>
        </w:rPr>
        <w:t>Effettuare durante il percorso valutazioni finali per la certificazione dell’Unità Formativa Didattic</w:t>
      </w:r>
      <w:r>
        <w:rPr>
          <w:rFonts w:ascii="Calibri" w:eastAsia="Calibri" w:hAnsi="Calibri"/>
          <w:i/>
          <w:color w:val="000000"/>
          <w:sz w:val="22"/>
          <w:szCs w:val="22"/>
        </w:rPr>
        <w:t xml:space="preserve">a di competenza </w:t>
      </w:r>
    </w:p>
    <w:p w:rsidR="001805BD" w:rsidRDefault="002C1A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i/>
          <w:color w:val="000000"/>
          <w:sz w:val="22"/>
          <w:szCs w:val="22"/>
        </w:rPr>
        <w:t>Interagire con gli esperti di monitoraggio e valutazione del processo per eventuali azioni didattiche e strutturali correttive</w:t>
      </w:r>
    </w:p>
    <w:p w:rsidR="001805BD" w:rsidRDefault="002C1A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i/>
          <w:color w:val="000000"/>
          <w:sz w:val="22"/>
          <w:szCs w:val="22"/>
        </w:rPr>
        <w:t>Compilare l’area predisposta per la descrizione e la documentazione dell’attività svolta all’interno della piatt</w:t>
      </w:r>
      <w:r>
        <w:rPr>
          <w:rFonts w:ascii="Calibri" w:eastAsia="Calibri" w:hAnsi="Calibri"/>
          <w:i/>
          <w:color w:val="000000"/>
          <w:sz w:val="22"/>
          <w:szCs w:val="22"/>
        </w:rPr>
        <w:t>aforma “Gestione PON</w:t>
      </w:r>
      <w:proofErr w:type="gramStart"/>
      <w:r>
        <w:rPr>
          <w:rFonts w:ascii="Calibri" w:eastAsia="Calibri" w:hAnsi="Calibri"/>
          <w:i/>
          <w:color w:val="000000"/>
          <w:sz w:val="22"/>
          <w:szCs w:val="22"/>
        </w:rPr>
        <w:t>”,  in</w:t>
      </w:r>
      <w:proofErr w:type="gramEnd"/>
      <w:r>
        <w:rPr>
          <w:rFonts w:ascii="Calibri" w:eastAsia="Calibri" w:hAnsi="Calibri"/>
          <w:i/>
          <w:color w:val="000000"/>
          <w:sz w:val="22"/>
          <w:szCs w:val="22"/>
        </w:rPr>
        <w:t xml:space="preserve"> Gestione e documentazione dell’attività – Documentazione attività </w:t>
      </w:r>
    </w:p>
    <w:p w:rsidR="001805BD" w:rsidRDefault="002C1A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i/>
          <w:color w:val="000000"/>
          <w:sz w:val="22"/>
          <w:szCs w:val="22"/>
        </w:rPr>
        <w:t>Premesso che l’istituzione affiderà l’incarico con le modalità tipiche del “progetto obiettivo”, curando particolarmente la valutazione del risultato dell’apprend</w:t>
      </w:r>
      <w:r>
        <w:rPr>
          <w:rFonts w:ascii="Calibri" w:eastAsia="Calibri" w:hAnsi="Calibri"/>
          <w:i/>
          <w:color w:val="000000"/>
          <w:sz w:val="22"/>
          <w:szCs w:val="22"/>
        </w:rPr>
        <w:t>imento dei discenti, l’esperto, coadiuvato dal tutor per il reperimento dei dati curriculari degli allievi, dovrà prestare particolare attenzione a favorire il miglioramento delle competenze dei discenti valutandone puntualmente, anche con riscontri oggett</w:t>
      </w:r>
      <w:r>
        <w:rPr>
          <w:rFonts w:ascii="Calibri" w:eastAsia="Calibri" w:hAnsi="Calibri"/>
          <w:i/>
          <w:color w:val="000000"/>
          <w:sz w:val="22"/>
          <w:szCs w:val="22"/>
        </w:rPr>
        <w:t xml:space="preserve">ivi,  almeno il livello delle competenze in ingresso e quelle  in uscita dall’intervento. I dati sulla valutazione delle competenze in ingresso dovranno essere integrati almeno con l’ultima  valutazione di riferimento che può essere, ad esempio, l’ultimo  </w:t>
      </w:r>
      <w:r>
        <w:rPr>
          <w:rFonts w:ascii="Calibri" w:eastAsia="Calibri" w:hAnsi="Calibri"/>
          <w:i/>
          <w:color w:val="000000"/>
          <w:sz w:val="22"/>
          <w:szCs w:val="22"/>
        </w:rPr>
        <w:t>scrutinio relativo al candidato medesimo, temporalmente più prossimo al periodo di svolgimento del corso: le valutazioni curriculari, per  tutte le materie con l’ aggiunta delle valutazioni di ingresso rilevate, costituiranno la base informativa minimale p</w:t>
      </w:r>
      <w:r>
        <w:rPr>
          <w:rFonts w:ascii="Calibri" w:eastAsia="Calibri" w:hAnsi="Calibri"/>
          <w:i/>
          <w:color w:val="000000"/>
          <w:sz w:val="22"/>
          <w:szCs w:val="22"/>
        </w:rPr>
        <w:t>er l’ anamnesi del singolo allievo  e dovranno poi confluire nell’articolazione interpolante delle esigenze dei singoli che determinerà  poi l’attività complessiva di sviluppo del corso.</w:t>
      </w:r>
    </w:p>
    <w:p w:rsidR="001805BD" w:rsidRDefault="002C1A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i/>
          <w:color w:val="000000"/>
          <w:sz w:val="22"/>
          <w:szCs w:val="22"/>
        </w:rPr>
        <w:t xml:space="preserve">9) </w:t>
      </w:r>
      <w:r>
        <w:rPr>
          <w:rFonts w:ascii="Calibri" w:eastAsia="Calibri" w:hAnsi="Calibri"/>
          <w:i/>
          <w:color w:val="000000"/>
          <w:sz w:val="22"/>
          <w:szCs w:val="22"/>
        </w:rPr>
        <w:tab/>
        <w:t>Relazione finale contenente:</w:t>
      </w:r>
    </w:p>
    <w:p w:rsidR="001805BD" w:rsidRDefault="002C1A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i/>
          <w:color w:val="000000"/>
          <w:sz w:val="22"/>
          <w:szCs w:val="22"/>
        </w:rPr>
        <w:t xml:space="preserve">Obiettivi e risultati ottenuti. Analisi e documentazione in </w:t>
      </w:r>
      <w:proofErr w:type="gramStart"/>
      <w:r>
        <w:rPr>
          <w:rFonts w:ascii="Calibri" w:eastAsia="Calibri" w:hAnsi="Calibri"/>
          <w:i/>
          <w:color w:val="000000"/>
          <w:sz w:val="22"/>
          <w:szCs w:val="22"/>
        </w:rPr>
        <w:t>conformità  all’art.</w:t>
      </w:r>
      <w:proofErr w:type="gramEnd"/>
      <w:r>
        <w:rPr>
          <w:rFonts w:ascii="Calibri" w:eastAsia="Calibri" w:hAnsi="Calibri"/>
          <w:i/>
          <w:color w:val="000000"/>
          <w:sz w:val="22"/>
          <w:szCs w:val="22"/>
        </w:rPr>
        <w:t>6 del bando.</w:t>
      </w:r>
    </w:p>
    <w:p w:rsidR="001805BD" w:rsidRDefault="002C1A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i/>
          <w:color w:val="000000"/>
          <w:sz w:val="22"/>
          <w:szCs w:val="22"/>
        </w:rPr>
        <w:t>Metodologia didattica</w:t>
      </w:r>
    </w:p>
    <w:p w:rsidR="001805BD" w:rsidRDefault="002C1A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i/>
          <w:color w:val="000000"/>
          <w:sz w:val="22"/>
          <w:szCs w:val="22"/>
        </w:rPr>
        <w:t>Profilo didattico sulle competenze acquisite da ogni allievo.</w:t>
      </w:r>
    </w:p>
    <w:p w:rsidR="001805BD" w:rsidRDefault="002C1A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i/>
          <w:color w:val="000000"/>
          <w:sz w:val="22"/>
          <w:szCs w:val="22"/>
        </w:rPr>
        <w:t>Frequenza corsisti</w:t>
      </w:r>
    </w:p>
    <w:p w:rsidR="001805BD" w:rsidRDefault="002C1A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i/>
          <w:color w:val="000000"/>
          <w:sz w:val="22"/>
          <w:szCs w:val="22"/>
        </w:rPr>
        <w:t>Materiale didattico individuale utilizzato</w:t>
      </w:r>
    </w:p>
    <w:p w:rsidR="001805BD" w:rsidRDefault="002C1A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i/>
          <w:color w:val="000000"/>
          <w:sz w:val="22"/>
          <w:szCs w:val="22"/>
        </w:rPr>
        <w:t>Materiale individ</w:t>
      </w:r>
      <w:r>
        <w:rPr>
          <w:rFonts w:ascii="Calibri" w:eastAsia="Calibri" w:hAnsi="Calibri"/>
          <w:i/>
          <w:color w:val="000000"/>
          <w:sz w:val="22"/>
          <w:szCs w:val="22"/>
        </w:rPr>
        <w:t>uale di consumo utilizzato</w:t>
      </w:r>
    </w:p>
    <w:p w:rsidR="001805BD" w:rsidRDefault="002C1A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i/>
          <w:color w:val="000000"/>
          <w:sz w:val="22"/>
          <w:szCs w:val="22"/>
        </w:rPr>
        <w:t>Problemi che occorre vengano segnalati</w:t>
      </w:r>
    </w:p>
    <w:p w:rsidR="001805BD" w:rsidRDefault="002C1A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i/>
          <w:color w:val="000000"/>
          <w:sz w:val="22"/>
          <w:szCs w:val="22"/>
        </w:rPr>
        <w:t>Originale Test o questionari di fine Unità/didattica</w:t>
      </w:r>
    </w:p>
    <w:p w:rsidR="001805BD" w:rsidRDefault="002C1A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i/>
          <w:color w:val="000000"/>
          <w:sz w:val="22"/>
          <w:szCs w:val="22"/>
        </w:rPr>
        <w:t>Solutore Test o solutore questionario</w:t>
      </w:r>
    </w:p>
    <w:p w:rsidR="001805BD" w:rsidRDefault="001805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</w:p>
    <w:p w:rsidR="001805BD" w:rsidRDefault="001805B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"/>
        <w:tblW w:w="8490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3204"/>
        <w:gridCol w:w="1090"/>
        <w:gridCol w:w="1530"/>
        <w:gridCol w:w="1121"/>
        <w:gridCol w:w="1545"/>
      </w:tblGrid>
      <w:tr w:rsidR="001805BD">
        <w:tc>
          <w:tcPr>
            <w:tcW w:w="5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Requisiti di ammissione e criteri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da compilare a cura del candidato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da compilare a cura della commissione</w:t>
            </w:r>
          </w:p>
        </w:tc>
      </w:tr>
      <w:tr w:rsidR="001805BD">
        <w:trPr>
          <w:cantSplit/>
        </w:trPr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 xml:space="preserve">A1. LAUREA </w:t>
            </w:r>
          </w:p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PUNTI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</w:tr>
      <w:tr w:rsidR="001805BD">
        <w:trPr>
          <w:cantSplit/>
        </w:trPr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180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110 e lode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</w:tr>
      <w:tr w:rsidR="001805BD">
        <w:trPr>
          <w:cantSplit/>
        </w:trPr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180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100 - 110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</w:tr>
      <w:tr w:rsidR="001805BD">
        <w:trPr>
          <w:cantSplit/>
        </w:trPr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180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&lt; 100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</w:tr>
      <w:tr w:rsidR="001805BD">
        <w:trPr>
          <w:cantSplit/>
          <w:trHeight w:val="115"/>
        </w:trPr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 xml:space="preserve">A2. LAUREA </w:t>
            </w:r>
          </w:p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110 e lode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</w:tr>
      <w:tr w:rsidR="001805BD">
        <w:trPr>
          <w:cantSplit/>
          <w:trHeight w:val="115"/>
        </w:trPr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805BD" w:rsidRDefault="00180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100-110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 xml:space="preserve">10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</w:tr>
      <w:tr w:rsidR="001805BD">
        <w:trPr>
          <w:cantSplit/>
          <w:trHeight w:val="115"/>
        </w:trPr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805BD" w:rsidRDefault="00180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&lt; 100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</w:tr>
      <w:tr w:rsidR="001805BD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 xml:space="preserve">A3. DIPLOMA ATTINENTE ALLA SELEZIONE </w:t>
            </w:r>
            <w:r>
              <w:rPr>
                <w:rFonts w:cs="Times New Roman"/>
                <w:color w:val="000000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</w:tr>
      <w:tr w:rsidR="001805BD">
        <w:trPr>
          <w:trHeight w:val="958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A</w:t>
            </w:r>
            <w:r>
              <w:rPr>
                <w:rFonts w:cs="Times New Roman"/>
                <w:b/>
              </w:rPr>
              <w:t>4</w:t>
            </w:r>
            <w:r>
              <w:rPr>
                <w:rFonts w:cs="Times New Roman"/>
                <w:b/>
                <w:color w:val="000000"/>
              </w:rPr>
              <w:t xml:space="preserve">. MASTER UNIVERSITARIO DI I  </w:t>
            </w:r>
            <w:r>
              <w:rPr>
                <w:rFonts w:cs="Times New Roman"/>
                <w:b/>
              </w:rPr>
              <w:t xml:space="preserve"> o II </w:t>
            </w:r>
            <w:r>
              <w:rPr>
                <w:rFonts w:cs="Times New Roman"/>
                <w:b/>
                <w:color w:val="000000"/>
              </w:rPr>
              <w:t xml:space="preserve">LIVELLO Attinente </w:t>
            </w:r>
            <w:proofErr w:type="gramStart"/>
            <w:r>
              <w:rPr>
                <w:rFonts w:cs="Times New Roman"/>
                <w:b/>
                <w:color w:val="000000"/>
              </w:rPr>
              <w:t>la</w:t>
            </w:r>
            <w:proofErr w:type="gramEnd"/>
            <w:r>
              <w:rPr>
                <w:rFonts w:cs="Times New Roman"/>
                <w:b/>
                <w:color w:val="000000"/>
              </w:rPr>
              <w:t xml:space="preserve">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Max 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</w:tr>
      <w:tr w:rsidR="001805BD">
        <w:trPr>
          <w:trHeight w:val="958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A</w:t>
            </w:r>
            <w:r>
              <w:rPr>
                <w:rFonts w:cs="Times New Roman"/>
                <w:b/>
              </w:rPr>
              <w:t>5</w:t>
            </w:r>
            <w:r>
              <w:rPr>
                <w:rFonts w:cs="Times New Roman"/>
                <w:b/>
                <w:color w:val="000000"/>
              </w:rPr>
              <w:t xml:space="preserve"> ALTRI TITOLI CULTURALI SPECIFICI </w:t>
            </w:r>
            <w:r>
              <w:rPr>
                <w:rFonts w:cs="Times New Roman"/>
                <w:b/>
              </w:rPr>
              <w:t>ATTINENTI ALLA METODOLOGIA DI MUSICOTERAPIA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Max 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</w:tr>
      <w:tr w:rsidR="001805BD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B</w:t>
            </w:r>
            <w:r>
              <w:rPr>
                <w:rFonts w:cs="Times New Roman"/>
                <w:b/>
              </w:rPr>
              <w:t>1</w:t>
            </w:r>
            <w:r>
              <w:rPr>
                <w:rFonts w:cs="Times New Roman"/>
                <w:b/>
                <w:color w:val="000000"/>
              </w:rPr>
              <w:t xml:space="preserve">. COMPETENZE LINGUISTICHE CERTIFICATE </w:t>
            </w:r>
            <w:r>
              <w:rPr>
                <w:rFonts w:cs="Times New Roman"/>
                <w:b/>
                <w:color w:val="000000"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</w:tr>
      <w:tr w:rsidR="001805BD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</w:rPr>
              <w:t>C1. ESPERIENZE CERTIFICATE DI REALIZZAZIONE DI INTERVENTI IN QUALITA’ DI FORMATORE DI DIDATTICA DELLA MUSICA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Max </w:t>
            </w:r>
            <w:r>
              <w:rPr>
                <w:rFonts w:cs="Times New Roman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</w:rPr>
              <w:t>2 per ogni esperienza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</w:tr>
      <w:tr w:rsidR="001805BD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  <w:r>
              <w:rPr>
                <w:rFonts w:cs="Times New Roman"/>
                <w:b/>
                <w:color w:val="000000"/>
              </w:rPr>
              <w:t xml:space="preserve">C2. </w:t>
            </w:r>
            <w:r>
              <w:rPr>
                <w:rFonts w:cs="Times New Roman"/>
                <w:b/>
              </w:rPr>
              <w:t xml:space="preserve">ESPERIENZE CERTIFICATE NELLA REALIZZAZIONE DI LABORATORI DIDATTICO- MUSICALI </w:t>
            </w:r>
          </w:p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Max </w:t>
            </w:r>
            <w:r>
              <w:rPr>
                <w:rFonts w:cs="Times New Roman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 xml:space="preserve"> 1 per ogni anno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</w:tr>
      <w:tr w:rsidR="001805BD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C3. CONOSCENZE SPECIFICHE DELL' ARGOMENTO (documentate attraverso partecipazione a corsi con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Max 5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 xml:space="preserve"> Da 1 a 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</w:tr>
      <w:tr w:rsidR="001805BD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C4. CONOSCENZE SPECIFICHE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Max 5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</w:tr>
      <w:tr w:rsidR="001805BD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C5. PUBBLICAZIONI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Max 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 xml:space="preserve"> 1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</w:tr>
      <w:tr w:rsidR="001805BD">
        <w:trPr>
          <w:trHeight w:val="616"/>
        </w:trPr>
        <w:tc>
          <w:tcPr>
            <w:tcW w:w="5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2C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TOTALE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BD" w:rsidRDefault="00180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</w:tr>
    </w:tbl>
    <w:p w:rsidR="001805BD" w:rsidRDefault="001805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:rsidR="001805BD" w:rsidRDefault="001805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1805BD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15085"/>
    <w:multiLevelType w:val="multilevel"/>
    <w:tmpl w:val="9BCA394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0866553"/>
    <w:multiLevelType w:val="multilevel"/>
    <w:tmpl w:val="EBF0DBA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785" w:hanging="705"/>
      </w:pPr>
      <w:rPr>
        <w:vertAlign w:val="baseline"/>
      </w:rPr>
    </w:lvl>
    <w:lvl w:ilvl="2"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5BD"/>
    <w:rsid w:val="001805BD"/>
    <w:rsid w:val="002C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AEBCC-A28E-488E-9712-F8894BEA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pPr>
      <w:ind w:left="708"/>
    </w:pPr>
    <w:rPr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5/JRLVNKAGcZioF5RWbkLg0xBQ==">AMUW2mVl+hb42t0ip+kY7fWTgdn+aTEsQX3Wieq3mOYJo6l2xhqP9h4szv1e1DY6YWWd1htUgli786DEfX4/Vm5dWi0PbuxCt37afM6HVDouVoU7j/z6dt4=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Dsga</cp:lastModifiedBy>
  <cp:revision>2</cp:revision>
  <dcterms:created xsi:type="dcterms:W3CDTF">2022-11-22T10:49:00Z</dcterms:created>
  <dcterms:modified xsi:type="dcterms:W3CDTF">2022-11-22T10:49:00Z</dcterms:modified>
</cp:coreProperties>
</file>