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DD0" w:rsidRDefault="008F130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13DD0" w:rsidRDefault="008F130A">
      <w:pPr>
        <w:spacing w:after="2" w:line="259" w:lineRule="auto"/>
        <w:ind w:left="0" w:right="319" w:firstLine="0"/>
        <w:jc w:val="right"/>
      </w:pPr>
      <w:r>
        <w:rPr>
          <w:noProof/>
        </w:rPr>
        <w:drawing>
          <wp:inline distT="0" distB="0" distL="0" distR="0">
            <wp:extent cx="5715000" cy="847725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13DD0" w:rsidRDefault="008F130A">
      <w:pPr>
        <w:pStyle w:val="Titolo1"/>
        <w:numPr>
          <w:ilvl w:val="0"/>
          <w:numId w:val="0"/>
        </w:numPr>
      </w:pPr>
      <w:r>
        <w:t xml:space="preserve">Istituto Comprensivo N.1 Imola </w:t>
      </w:r>
    </w:p>
    <w:p w:rsidR="00213DD0" w:rsidRDefault="008F130A">
      <w:pPr>
        <w:spacing w:after="29" w:line="233" w:lineRule="auto"/>
        <w:ind w:left="516" w:right="566"/>
        <w:jc w:val="center"/>
      </w:pPr>
      <w:r>
        <w:rPr>
          <w:b/>
          <w:sz w:val="27"/>
        </w:rPr>
        <w:t>Via San Vitale, 43, 40026 Imola (BO) - Tel.: 0542/76147</w:t>
      </w:r>
      <w:r>
        <w:rPr>
          <w:b/>
          <w:sz w:val="28"/>
        </w:rPr>
        <w:t xml:space="preserve"> </w:t>
      </w:r>
    </w:p>
    <w:p w:rsidR="00213DD0" w:rsidRDefault="008F130A">
      <w:pPr>
        <w:spacing w:after="0" w:line="233" w:lineRule="auto"/>
        <w:ind w:left="516" w:right="500"/>
        <w:jc w:val="center"/>
      </w:pPr>
      <w:r>
        <w:rPr>
          <w:b/>
          <w:sz w:val="27"/>
        </w:rPr>
        <w:t>E-mail: boic88500p@istruzione.it - Pec: boic88500p@pec.istruzione.it C.F.: 90053140373 - C.M.: BOIC88500P</w:t>
      </w:r>
      <w:r>
        <w:rPr>
          <w:b/>
          <w:sz w:val="28"/>
        </w:rPr>
        <w:t xml:space="preserve"> </w:t>
      </w:r>
    </w:p>
    <w:p w:rsidR="00213DD0" w:rsidRDefault="008F130A">
      <w:pPr>
        <w:spacing w:after="19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213DD0" w:rsidRDefault="008F130A">
      <w:pPr>
        <w:spacing w:after="8" w:line="267" w:lineRule="auto"/>
        <w:ind w:left="-5" w:right="43"/>
      </w:pPr>
      <w:r>
        <w:rPr>
          <w:i/>
        </w:rPr>
        <w:t xml:space="preserve">Protocollo come da segnatura </w:t>
      </w:r>
      <w:r>
        <w:t xml:space="preserve"> </w:t>
      </w:r>
    </w:p>
    <w:p w:rsidR="00213DD0" w:rsidRDefault="008F130A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13DD0" w:rsidRDefault="008F130A">
      <w:pPr>
        <w:spacing w:after="16" w:line="259" w:lineRule="auto"/>
        <w:ind w:left="0" w:firstLine="0"/>
        <w:jc w:val="right"/>
      </w:pPr>
      <w:r>
        <w:t xml:space="preserve">Imola, </w:t>
      </w:r>
      <w:r w:rsidR="001C4086">
        <w:t>_________</w:t>
      </w:r>
    </w:p>
    <w:p w:rsidR="00213DD0" w:rsidRDefault="008F130A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213DD0" w:rsidRDefault="008F130A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213DD0" w:rsidRDefault="008F130A">
      <w:pPr>
        <w:spacing w:after="16" w:line="259" w:lineRule="auto"/>
        <w:ind w:left="0" w:right="0" w:firstLine="0"/>
        <w:jc w:val="left"/>
      </w:pPr>
      <w:r>
        <w:rPr>
          <w:b/>
        </w:rPr>
        <w:t xml:space="preserve">Oggetto: </w:t>
      </w:r>
      <w:proofErr w:type="spellStart"/>
      <w:r>
        <w:rPr>
          <w:b/>
        </w:rPr>
        <w:t>Autoconferimento</w:t>
      </w:r>
      <w:proofErr w:type="spellEnd"/>
      <w:r>
        <w:rPr>
          <w:b/>
        </w:rPr>
        <w:t xml:space="preserve"> Incarico a Titolo Oneroso DS PROJECT MANAGER.</w:t>
      </w:r>
      <w:r>
        <w:t xml:space="preserve"> </w:t>
      </w:r>
    </w:p>
    <w:p w:rsidR="00213DD0" w:rsidRDefault="008F130A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C4086" w:rsidRDefault="001C4086" w:rsidP="001C4086">
      <w:pPr>
        <w:spacing w:after="0" w:line="259" w:lineRule="auto"/>
        <w:ind w:right="0" w:firstLine="0"/>
      </w:pPr>
      <w: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>
        <w:t>Next</w:t>
      </w:r>
      <w:proofErr w:type="spellEnd"/>
      <w:r>
        <w:t xml:space="preserve"> Generation EU – “Azioni di potenziamento delle competenze STEM e multilinguistiche” – Linea di investimento</w:t>
      </w:r>
    </w:p>
    <w:p w:rsidR="001C4086" w:rsidRDefault="001C4086" w:rsidP="00DF6EA1">
      <w:pPr>
        <w:spacing w:after="0" w:line="480" w:lineRule="auto"/>
        <w:ind w:right="0" w:firstLine="0"/>
      </w:pPr>
      <w:r>
        <w:t xml:space="preserve">“A” e “B”- Codice progetto M4C1I3.1-2023-1143-P-30080 - Titolo “ STEAM ON </w:t>
      </w:r>
      <w:r w:rsidR="00DF6EA1">
        <w:t>!”</w:t>
      </w:r>
      <w:r>
        <w:t>.</w:t>
      </w:r>
    </w:p>
    <w:p w:rsidR="001C4086" w:rsidRDefault="001C4086" w:rsidP="001C4086">
      <w:pPr>
        <w:spacing w:after="0" w:line="259" w:lineRule="auto"/>
        <w:ind w:right="0" w:firstLine="0"/>
      </w:pPr>
    </w:p>
    <w:p w:rsidR="00213DD0" w:rsidRDefault="001C4086" w:rsidP="001C4086">
      <w:pPr>
        <w:spacing w:after="0" w:line="259" w:lineRule="auto"/>
        <w:ind w:right="0" w:firstLine="0"/>
      </w:pPr>
      <w:r>
        <w:t>CUP: B24D23000400006</w:t>
      </w:r>
    </w:p>
    <w:p w:rsidR="00213DD0" w:rsidRDefault="008F130A">
      <w:pPr>
        <w:pStyle w:val="Titolo1"/>
        <w:numPr>
          <w:ilvl w:val="0"/>
          <w:numId w:val="0"/>
        </w:numPr>
        <w:ind w:right="59"/>
      </w:pPr>
      <w:r>
        <w:t xml:space="preserve">IL DIRIGENTE SCOLASTICO </w:t>
      </w:r>
    </w:p>
    <w:p w:rsidR="00213DD0" w:rsidRDefault="008F130A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213DD0" w:rsidRDefault="008F130A">
      <w:pPr>
        <w:ind w:left="-5" w:right="47"/>
      </w:pPr>
      <w:r>
        <w:rPr>
          <w:b/>
        </w:rPr>
        <w:t>VISTO</w:t>
      </w:r>
      <w:r>
        <w:t xml:space="preserve"> il R.D. 18 novembre 1923, n. 2440, concernente l’amministrazione del Patrimonio e la Contabilità Generale dello Stato ed il relativo regolamento approvato con R.D. 23 maggio 1924, n. </w:t>
      </w:r>
    </w:p>
    <w:p w:rsidR="00213DD0" w:rsidRDefault="008F130A">
      <w:pPr>
        <w:ind w:left="-5" w:right="47"/>
      </w:pPr>
      <w:r>
        <w:t xml:space="preserve">827 e </w:t>
      </w:r>
      <w:proofErr w:type="spellStart"/>
      <w:r>
        <w:t>ss.mm.ii</w:t>
      </w:r>
      <w:proofErr w:type="spellEnd"/>
      <w:r>
        <w:t xml:space="preserve">.; </w:t>
      </w:r>
    </w:p>
    <w:p w:rsidR="00213DD0" w:rsidRDefault="008F130A">
      <w:pPr>
        <w:ind w:left="-5" w:right="47"/>
      </w:pPr>
      <w:r>
        <w:rPr>
          <w:b/>
        </w:rPr>
        <w:t>VISTO</w:t>
      </w:r>
      <w:r>
        <w:t xml:space="preserve"> il D.I. n. 129/2018 "Regolamento recante istruzioni generali sulla gestione </w:t>
      </w:r>
      <w:proofErr w:type="spellStart"/>
      <w:r>
        <w:t>amministrativocontabile</w:t>
      </w:r>
      <w:proofErr w:type="spellEnd"/>
      <w:r>
        <w:t xml:space="preserve"> delle istituzioni scolastiche, ai sensi dell’articolo 1, comma 143, della Legge 13 luglio 2015, n. 107"; </w:t>
      </w:r>
    </w:p>
    <w:p w:rsidR="00213DD0" w:rsidRDefault="008F130A">
      <w:pPr>
        <w:ind w:left="-5" w:right="47"/>
      </w:pPr>
      <w:r>
        <w:rPr>
          <w:b/>
        </w:rPr>
        <w:t>VISTO</w:t>
      </w:r>
      <w:r>
        <w:t xml:space="preserve"> il Decreto Legislativo 30 marzo 2001, n. 165 recante “Norme generali sull’ordinamento del lavoro alle dipendenze delle Amministrazioni Pubbliche” e </w:t>
      </w:r>
      <w:proofErr w:type="spellStart"/>
      <w:r>
        <w:t>ss.mm.ii</w:t>
      </w:r>
      <w:proofErr w:type="spellEnd"/>
      <w:r>
        <w:t xml:space="preserve">.; </w:t>
      </w:r>
    </w:p>
    <w:p w:rsidR="00213DD0" w:rsidRDefault="008F130A">
      <w:pPr>
        <w:ind w:left="-5" w:right="47"/>
      </w:pPr>
      <w:r>
        <w:rPr>
          <w:b/>
        </w:rPr>
        <w:t>VISTA</w:t>
      </w:r>
      <w:r>
        <w:t xml:space="preserve"> la Legge 7 agosto 1990, n. 241 “Nuove norme in materia di procedimento amministrativo e di diritto di accesso ai documenti amministrativi” e </w:t>
      </w:r>
      <w:proofErr w:type="spellStart"/>
      <w:r>
        <w:t>ss.mm.ii</w:t>
      </w:r>
      <w:proofErr w:type="spellEnd"/>
      <w:r>
        <w:t xml:space="preserve">.; </w:t>
      </w:r>
    </w:p>
    <w:p w:rsidR="00213DD0" w:rsidRDefault="008F130A">
      <w:pPr>
        <w:ind w:left="-5" w:right="47"/>
      </w:pPr>
      <w:r>
        <w:rPr>
          <w:b/>
        </w:rPr>
        <w:t>VISTA</w:t>
      </w:r>
      <w:r>
        <w:t xml:space="preserve"> la Legge 15 marzo 1997 n. 59, concernente “Delega al Governo per il conferimento di funzioni e compiti alle regioni ed enti locali, per la riforma della Pubblica Amministrazione e per la semplificazione amministrativa";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D.P.R. 8 marzo 1999, n. 275, concernente il Regolamento recante norme in materia di autonomia delle Istituzioni Scolastiche, ai sensi dell'art. 21 della Legge 15 marzo 1997, n. 59; </w:t>
      </w:r>
      <w:r>
        <w:rPr>
          <w:b/>
        </w:rPr>
        <w:t>VISTA</w:t>
      </w:r>
      <w:r>
        <w:t xml:space="preserve"> la Legge 13 luglio 2015 n. 107, concernente “Riforma del sistema nazionale di istruzione e formazione e delega per il riordino delle disposizioni legislative vigenti”; </w:t>
      </w:r>
    </w:p>
    <w:p w:rsidR="00213DD0" w:rsidRDefault="008F130A">
      <w:pPr>
        <w:ind w:left="-5" w:right="47"/>
      </w:pPr>
      <w:r>
        <w:rPr>
          <w:b/>
        </w:rPr>
        <w:t>VISTO</w:t>
      </w:r>
      <w:r>
        <w:t xml:space="preserve"> il D.Lgs. 18 aprile 2016, n. 50, recante «Codice dei contratti pubblici» e </w:t>
      </w:r>
      <w:proofErr w:type="spellStart"/>
      <w:r>
        <w:t>ss.mm.ii</w:t>
      </w:r>
      <w:proofErr w:type="spellEnd"/>
      <w:r>
        <w:t xml:space="preserve">.; </w:t>
      </w:r>
    </w:p>
    <w:p w:rsidR="00213DD0" w:rsidRDefault="008F130A">
      <w:pPr>
        <w:ind w:left="-5" w:right="47"/>
      </w:pPr>
      <w:r>
        <w:rPr>
          <w:b/>
        </w:rPr>
        <w:lastRenderedPageBreak/>
        <w:t xml:space="preserve">VISTO </w:t>
      </w:r>
      <w:r>
        <w:t xml:space="preserve">il D.L. 16 luglio 2020, n. 76 recante Misure urgenti per la semplificazione e l'innovazione digitale (GU Serie Generale n.178 del 16-07-2020 - Suppl. Ordinario n. 24) </w:t>
      </w:r>
    </w:p>
    <w:p w:rsidR="00213DD0" w:rsidRDefault="008F130A">
      <w:pPr>
        <w:ind w:left="-5" w:right="47"/>
      </w:pPr>
      <w:r>
        <w:rPr>
          <w:b/>
        </w:rPr>
        <w:t xml:space="preserve">VISTA </w:t>
      </w:r>
      <w:r>
        <w:t xml:space="preserve">legge 30 dicembre 2020, n. 178, recante “Bilancio di previsione dello Stato per l’anno finanziario 2021 e bilancio pluriennale per il triennio 2021-2023”;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Decreto-Legge 6 maggio 2021, n. 59, convertito, con modificazioni, dalla legge 1° luglio 2021, n. 101, recante “Misure urgenti relative al Fondo complementare al Piano nazionale di ripresa e resilienza e altre misure urgenti per gli investimenti”; </w:t>
      </w:r>
    </w:p>
    <w:p w:rsidR="00213DD0" w:rsidRDefault="008F130A">
      <w:pPr>
        <w:ind w:left="-5" w:right="47"/>
      </w:pPr>
      <w:r>
        <w:rPr>
          <w:b/>
        </w:rPr>
        <w:t>VISTO</w:t>
      </w:r>
      <w:r>
        <w:t xml:space="preserve"> il Decreto-legge del 31 maggio 2021, n. 77, convertito nella legge 29 luglio 2021, n. 108, recante: «</w:t>
      </w:r>
      <w:proofErr w:type="spellStart"/>
      <w:r>
        <w:t>Governance</w:t>
      </w:r>
      <w:proofErr w:type="spellEnd"/>
      <w:r>
        <w:t xml:space="preserve"> del Piano nazionale di ripresa e resilienza e prime misure di rafforzamento delle strutture amministrative e di accelerazione e snellimento delle procedure»;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Decreto-legge 9 giugno 2021, n. 80, convertito nella legge 6 agosto 2021, n. 113, recante: «Misure urgenti per il rafforzamento della capacità amministrativa delle pubbliche amministrazioni funzionale all'attuazione del Piano nazionale di ripresa e resilienza (PNRR) e per l'efficienza della giustizia» che, al secondo periodo del comma 1 dell’articolo 7 prevede che «Con decreto del Presidente del Consiglio dei ministri, su proposta del Ministro dell'economia e delle finanze, si provvede alla individuazione delle amministrazioni di cui all'articolo 8, comma 1, del decreto-legge 31 maggio 2021, n. 77»;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Decreto-Legge 6 novembre 2021, n. 152, convertito, con modificazioni, dalla legge 29 dicembre 2021, n. 233, recante “Disposizioni urgenti per l’attuazione del Piano nazionale di ripresa e resilienza (PNRR) e per la prevenzione delle infiltrazioni mafiose”;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decreto-legge 30 aprile 2022, n. 36, convertito, con modificazioni, dalla legge 29 giugno 2022, n. 79, recante “Ulteriori misure urgenti per l’attuazione del Piano nazionale di ripresa e resilienza” e, in particolare, l’articolo 47;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Decreto-Legge 11 novembre 2022, n. 173, recante “Disposizioni urgenti in materia di riordino delle attribuzioni dei Ministeri”;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Regolamento (UE) 2018/1046 del 18 luglio 2018, che stabilisce le regole finanziarie applicabili al bilancio generale dell’Unione, che modifica i regolamenti (UE) n. 1296/2013, n. 1301/2013, n. 1303/2013, n. 1304/2013, n. 1309/2013, n. 1316/2013, n. 223/2014, n. 283/2014 e la decisione n. 541/2014/UE e abroga il regolamento (UE, </w:t>
      </w:r>
      <w:proofErr w:type="spellStart"/>
      <w:r>
        <w:t>Euratom</w:t>
      </w:r>
      <w:proofErr w:type="spellEnd"/>
      <w:r>
        <w:t xml:space="preserve">) n. 966/2012; </w:t>
      </w:r>
    </w:p>
    <w:p w:rsidR="00213DD0" w:rsidRDefault="008F130A">
      <w:pPr>
        <w:ind w:left="-5" w:right="47"/>
      </w:pPr>
      <w:r>
        <w:rPr>
          <w:b/>
        </w:rPr>
        <w:t>VISTO</w:t>
      </w:r>
      <w:r>
        <w:t xml:space="preserve"> il Regolamento (UE) 2021/241 del Parlamento europeo e del Consiglio, del 12 febbraio 2021 che istituisce il Dispositivo per la ripresa e per la resilienza;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Regolamento delegato (UE) 2021/2105 della Commissione del 28 settembre 2021, che integra il regolamento (UE) 2021/241 del Parlamento europeo e del Consiglio, che istituisce il dispositivo per la ripresa e la resilienza, definendo una metodologia per la rendicontazione della spesa sociale;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Investimento 1.3 “Piano per le infrastrutture per lo sport nelle scuole”; </w:t>
      </w:r>
    </w:p>
    <w:p w:rsidR="00213DD0" w:rsidRDefault="008F130A">
      <w:pPr>
        <w:ind w:left="-5" w:right="47"/>
      </w:pPr>
      <w:r>
        <w:rPr>
          <w:b/>
        </w:rPr>
        <w:t xml:space="preserve">VISTI </w:t>
      </w:r>
      <w:r>
        <w:t xml:space="preserve">i principi trasversali previsti dal PNRR, quali, tra l’altro, il principio del contributo all’obiettivo climatico e digitale (c.d. tagging), il principio di parità di genere e l’obbligo di protezione e valorizzazione dei giovani;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gli obblighi di assicurare il conseguimento di target e milestone e degli obiettivi finanziari stabiliti nel PNRR; </w:t>
      </w:r>
    </w:p>
    <w:p w:rsidR="00213DD0" w:rsidRDefault="008F130A">
      <w:pPr>
        <w:ind w:left="-5" w:right="47"/>
      </w:pPr>
      <w:r>
        <w:rPr>
          <w:b/>
        </w:rPr>
        <w:lastRenderedPageBreak/>
        <w:t>VISTA</w:t>
      </w:r>
      <w:r>
        <w:t xml:space="preserve"> la delibera del CIPE n. 63 del 26 novembre 2020 che introduce la normativa attuativa della riforma del CUP;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 del Presidente del Consiglio dei Ministri del 30 settembre 2020 n. 166, recante “Regolamento concernente l’organizzazione del Ministero dell’Istruzione”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 del Ministro dell’economia e delle finanze 6 agosto 2021 e successive modificazioni e integrazioni, con il quale sono state assegnate le risorse in favore di ciascuna Amministrazione titolare degli interventi PNRR e corrispondenti milestone e target;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 del Ministro dell’istruzione, di concerto con il Ministro dell’economia e delle finanze, 21 settembre 2021, n. 284, di istituzione di una Unità di missione di livello dirigenziale generale per l’attuazione degli interventi del Piano nazionale di ripresa e resilienza a titolarità del Ministero dell’istruzione;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 del Ministro dell’istruzione 30 novembre 2021, n. 341, che individua ulteriori uffici di livello dirigenziale non generale all’interno dell’Unità di missione per il PNRR;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Decreto del Ministro dell’istruzione 15 febbraio 2022, n. 31, con cui sono state assegnate le risorse finanziarie ai titolari dei centri di responsabilità amministrativa e, in particolare, l’articolo 7 e la tabella D), allegata allo stesso, relativa ai capitoli e ai piani gestionali, su cui insistono le risorse destinate agli interventi in essere previsti dal PNRR; </w:t>
      </w:r>
    </w:p>
    <w:p w:rsidR="00213DD0" w:rsidRDefault="008F130A">
      <w:pPr>
        <w:ind w:left="-5" w:right="47"/>
      </w:pPr>
      <w:r>
        <w:rPr>
          <w:b/>
        </w:rPr>
        <w:t>VISTA</w:t>
      </w:r>
      <w:r>
        <w:t xml:space="preserve"> la Circolare del 14 ottobre 2021, n. 21 del Ministero dell’economia e delle finanze – </w:t>
      </w:r>
    </w:p>
    <w:p w:rsidR="00213DD0" w:rsidRDefault="008F130A">
      <w:pPr>
        <w:ind w:left="-5" w:right="47"/>
      </w:pPr>
      <w:r>
        <w:t xml:space="preserve">Dipartimento della ragioneria generale dello Stato - Servizio centrale per il PNRR, recante «Trasmissione delle Istruzioni Tecniche per la selezione dei progetti PNRR»;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le Linee guida per le Amministrazioni centrali titolari di interventi PNRR, approvate con la circolare del 29 ottobre 2021, n.25, recante “Rilevazione periodica avvisi, bandi e altre procedure di attivazione degli investimenti”, che riportano le modalità per assicurare la correttezza delle procedure di attuazione e rendicontazione, la regolarità della spesa e il conseguimento di target e milestone e di ogni altro adempimento previsto dalla normativa europea e nazionale applicabile al PNRR, a norma dell’articolo 8, comma 3, del decreto-legge 31 maggio 2021, n. 77, convertito, con modificazioni, dalla legge 29 luglio 2021, n. 108; </w:t>
      </w:r>
    </w:p>
    <w:p w:rsidR="00213DD0" w:rsidRDefault="008F130A">
      <w:pPr>
        <w:ind w:left="-5" w:right="47"/>
      </w:pPr>
      <w:r>
        <w:rPr>
          <w:b/>
        </w:rPr>
        <w:t xml:space="preserve">VISTA </w:t>
      </w:r>
      <w:r>
        <w:t xml:space="preserve">la Circolare del 24 gennaio 2022, n. 6 del Ministero dell’economia e delle finanze, recante </w:t>
      </w:r>
    </w:p>
    <w:p w:rsidR="00213DD0" w:rsidRDefault="008F130A">
      <w:pPr>
        <w:ind w:left="-5" w:right="47"/>
      </w:pPr>
      <w:r>
        <w:t xml:space="preserve">“Piano Nazionale di Ripresa e Resilienza (PNRR) – Servizi di assistenza tecnica per le Amministrazioni titolari di interventi e soggetti attuatori del PNRR” </w:t>
      </w:r>
    </w:p>
    <w:p w:rsidR="00213DD0" w:rsidRDefault="008F130A">
      <w:pPr>
        <w:ind w:left="-5" w:right="47"/>
      </w:pPr>
      <w:r>
        <w:rPr>
          <w:b/>
        </w:rPr>
        <w:t xml:space="preserve">VISTA </w:t>
      </w:r>
      <w:r>
        <w:t xml:space="preserve">la Circolare del 10 febbraio 2022, n. 9, recante “Piano nazionale di ripresa e resilienza (PNRR) – Trasmissione delle Istruzioni tecniche per la redazione dei sistemi di gestione e controllo delle amministrazioni centrali titolari di interventi del PNRR”; </w:t>
      </w:r>
    </w:p>
    <w:p w:rsidR="00213DD0" w:rsidRDefault="008F130A">
      <w:pPr>
        <w:ind w:left="-5" w:right="47"/>
      </w:pPr>
      <w:r>
        <w:rPr>
          <w:b/>
        </w:rPr>
        <w:t xml:space="preserve">VISTA </w:t>
      </w:r>
      <w:r>
        <w:t xml:space="preserve">la Circolare del 29 aprile 2022, n. 21 del Ragioniere Generale dello Stato, recante “Piano nazionale di ripresa e resilienza (PNRR) e Piano nazionale per gli investimenti complementare – Chiarimenti in relazione al riferimento alla disciplina nazionale in materia di contratti pubblici richiamata nei dispositivi attuativi relativi agli interventi PNRR e PNC”; </w:t>
      </w:r>
    </w:p>
    <w:p w:rsidR="00213DD0" w:rsidRDefault="008F130A">
      <w:pPr>
        <w:ind w:left="-5" w:right="47"/>
      </w:pPr>
      <w:r>
        <w:rPr>
          <w:b/>
        </w:rPr>
        <w:t xml:space="preserve">VISTA </w:t>
      </w:r>
      <w:r>
        <w:t xml:space="preserve">la Circolare del 21 giugno 2022, n. 27, del Ragioniere Generale dello Stato, recante “Piano nazionale di ripresa e resilienza (PNRR) – Monitoraggio delle misure PNRR”; </w:t>
      </w:r>
    </w:p>
    <w:p w:rsidR="00213DD0" w:rsidRDefault="008F130A">
      <w:pPr>
        <w:ind w:left="-5" w:right="47"/>
      </w:pPr>
      <w:r>
        <w:rPr>
          <w:b/>
        </w:rPr>
        <w:t xml:space="preserve">VISTO </w:t>
      </w:r>
      <w:r>
        <w:t xml:space="preserve">il Regolamento (UE) n. 2106 del 28 settembre 2021 che integra il regolamento (UE) 2021/241 del Parlamento europeo e del Consiglio, che istituisce il dispositivo per la ripresa e la resilienza, stabilendo gli indicatori comuni e gli elementi dettagliati del quadro di valutazione della ripresa e della resilienza; </w:t>
      </w:r>
    </w:p>
    <w:p w:rsidR="001C4086" w:rsidRDefault="001C4086" w:rsidP="001C4086">
      <w:pPr>
        <w:ind w:left="-5" w:right="47"/>
      </w:pPr>
      <w:r w:rsidRPr="001C4086">
        <w:rPr>
          <w:b/>
        </w:rPr>
        <w:t>VISTA</w:t>
      </w:r>
      <w:r>
        <w:t xml:space="preserve"> nello specifico la Missione 4 – Istruzione e ricerca – Componente 1 – Potenziamento dell’offerta dei servizi di istruzione: dagli asili nido alle università – Investimento 3.1 “Nuove </w:t>
      </w:r>
      <w:r>
        <w:lastRenderedPageBreak/>
        <w:t xml:space="preserve">competenze e nuovi linguaggi” – “Azioni di potenziamento delle competenze STEM e multilinguistiche” – linea di investimento “A” e “B” - finanziato dall’Unione Europea – </w:t>
      </w:r>
      <w:proofErr w:type="spellStart"/>
      <w:r>
        <w:t>Next</w:t>
      </w:r>
      <w:proofErr w:type="spellEnd"/>
      <w:r>
        <w:t xml:space="preserve"> Generation EU;</w:t>
      </w:r>
    </w:p>
    <w:p w:rsidR="001C4086" w:rsidRDefault="001C4086" w:rsidP="001C4086">
      <w:pPr>
        <w:ind w:left="-5" w:right="47"/>
      </w:pPr>
      <w:r w:rsidRPr="001C4086">
        <w:rPr>
          <w:b/>
        </w:rPr>
        <w:t>VISTO</w:t>
      </w:r>
      <w:r>
        <w:t xml:space="preserve"> il Decreto del Ministero dell’Istruzione M4C1I3.1-2023-1143 con il quale è stato assegnato a questo Istituto un finanziamento di € 58.405,60 per la realizzazione degli Interventi;</w:t>
      </w:r>
    </w:p>
    <w:p w:rsidR="001C4086" w:rsidRDefault="001C4086" w:rsidP="001C4086">
      <w:pPr>
        <w:ind w:left="-5" w:right="47"/>
      </w:pPr>
      <w:r w:rsidRPr="001C4086">
        <w:rPr>
          <w:b/>
        </w:rPr>
        <w:t>VISTA</w:t>
      </w:r>
      <w:r>
        <w:t xml:space="preserve"> la nota del Ministero dell’Istruzione e del merito 0132935 del 15/11/2023 con la quale sono state diramate le Istruzioni Operative relative all’investimento Investimento 3.1 “Nuove competenze e nuovi linguaggi” – “Azioni di potenziamento delle competenze STEM e multilinguistiche” – linea di investimento “A” e “B” - finanziato dall’Unione Europea – </w:t>
      </w:r>
      <w:proofErr w:type="spellStart"/>
      <w:r>
        <w:t>Next</w:t>
      </w:r>
      <w:proofErr w:type="spellEnd"/>
      <w:r>
        <w:t xml:space="preserve"> Generation EU;</w:t>
      </w:r>
    </w:p>
    <w:p w:rsidR="001C4086" w:rsidRDefault="001C4086" w:rsidP="001C4086">
      <w:pPr>
        <w:ind w:left="-5" w:right="47"/>
      </w:pPr>
      <w:r w:rsidRPr="001C4086">
        <w:rPr>
          <w:b/>
        </w:rPr>
        <w:t>VISTE</w:t>
      </w:r>
      <w:r>
        <w:t xml:space="preserve"> le delibere degli OO.CC. relative all’adozione dei progetti PNRR ed integrazione PTOF (Collegio dei docenti e Consiglio di Istituto);</w:t>
      </w:r>
    </w:p>
    <w:p w:rsidR="001C4086" w:rsidRDefault="001C4086" w:rsidP="001C4086">
      <w:pPr>
        <w:ind w:left="-5" w:right="47"/>
      </w:pPr>
      <w:r w:rsidRPr="001C4086">
        <w:rPr>
          <w:b/>
        </w:rPr>
        <w:t>VISTO</w:t>
      </w:r>
      <w:r>
        <w:t xml:space="preserve"> il progetto "STEAM ON !" presentato in data 24/01/2024 attraverso la piattaforma FUTURA;</w:t>
      </w:r>
    </w:p>
    <w:p w:rsidR="001C4086" w:rsidRDefault="001C4086" w:rsidP="001C4086">
      <w:pPr>
        <w:ind w:left="-5" w:right="47"/>
      </w:pPr>
      <w:r w:rsidRPr="001C4086">
        <w:rPr>
          <w:b/>
        </w:rPr>
        <w:t>PRESO ATTO</w:t>
      </w:r>
      <w:r>
        <w:t xml:space="preserve"> che in data 30/01/2024 è stato rilasciato in piattaforma l’accordo di concessione firmato dal Direttore Generale e coordinatore dell’Unità di missione per il PNRR;</w:t>
      </w:r>
    </w:p>
    <w:p w:rsidR="001C4086" w:rsidRDefault="001C4086" w:rsidP="001C4086">
      <w:pPr>
        <w:ind w:left="-5" w:right="47"/>
      </w:pPr>
      <w:r w:rsidRPr="001C4086">
        <w:rPr>
          <w:b/>
        </w:rPr>
        <w:t>VISTO</w:t>
      </w:r>
      <w:r>
        <w:t xml:space="preserve"> il Programma Annuale 2024, approvato dal Consiglio di Istituto con delibera n.18 dell’08/02/2024; </w:t>
      </w:r>
    </w:p>
    <w:p w:rsidR="001C4086" w:rsidRDefault="001C4086" w:rsidP="001C4086">
      <w:pPr>
        <w:ind w:left="-5" w:right="47"/>
      </w:pPr>
      <w:r w:rsidRPr="001C4086">
        <w:rPr>
          <w:b/>
        </w:rPr>
        <w:t>VISTO</w:t>
      </w:r>
      <w:r w:rsidRPr="001C4086">
        <w:t xml:space="preserve"> il Piano Triennale dell’Offerta Formativa (PTOF) per l’</w:t>
      </w:r>
      <w:proofErr w:type="spellStart"/>
      <w:r w:rsidRPr="001C4086">
        <w:t>as</w:t>
      </w:r>
      <w:proofErr w:type="spellEnd"/>
      <w:r w:rsidRPr="001C4086">
        <w:t>. 202</w:t>
      </w:r>
      <w:r>
        <w:t>3</w:t>
      </w:r>
      <w:r w:rsidRPr="001C4086">
        <w:t>/202</w:t>
      </w:r>
      <w:r>
        <w:t>4;</w:t>
      </w:r>
    </w:p>
    <w:p w:rsidR="001C4086" w:rsidRDefault="001C4086" w:rsidP="001C4086">
      <w:pPr>
        <w:ind w:left="-5" w:right="47"/>
      </w:pPr>
      <w:r w:rsidRPr="001C4086">
        <w:rPr>
          <w:b/>
        </w:rPr>
        <w:t>VISTO</w:t>
      </w:r>
      <w:r>
        <w:t xml:space="preserve"> il provvedimento di assunzione a bilancio prot.2137 dell’01/03/2024;</w:t>
      </w:r>
    </w:p>
    <w:p w:rsidR="00213DD0" w:rsidRPr="001C4086" w:rsidRDefault="008F130A" w:rsidP="001C4086">
      <w:pPr>
        <w:ind w:left="0" w:right="47" w:firstLine="0"/>
      </w:pPr>
      <w:r w:rsidRPr="001C4086">
        <w:rPr>
          <w:b/>
        </w:rPr>
        <w:t xml:space="preserve">VISTA </w:t>
      </w:r>
      <w:r w:rsidRPr="001C4086">
        <w:t>la nomina del Responsabile Unico del Procedimento (RUP) prot. n.</w:t>
      </w:r>
      <w:r w:rsidR="001C4086" w:rsidRPr="001C4086">
        <w:t xml:space="preserve"> 0002136 - 01/03/2024</w:t>
      </w:r>
      <w:r w:rsidRPr="001C4086">
        <w:t xml:space="preserve">; </w:t>
      </w:r>
      <w:r w:rsidRPr="001C4086">
        <w:rPr>
          <w:b/>
        </w:rPr>
        <w:t xml:space="preserve">VISTA </w:t>
      </w:r>
      <w:r w:rsidRPr="001C4086">
        <w:t xml:space="preserve">la propria azione di disseminazione, comunicazione, sensibilizzazione e pubblicizzazione del progetto, prot. n. </w:t>
      </w:r>
      <w:r w:rsidR="001C4086" w:rsidRPr="001C4086">
        <w:t>0002138 - 01/03/2024</w:t>
      </w:r>
      <w:r w:rsidRPr="001C4086">
        <w:t xml:space="preserve">; </w:t>
      </w:r>
    </w:p>
    <w:p w:rsidR="00213DD0" w:rsidRPr="00DF6EA1" w:rsidRDefault="008F130A">
      <w:pPr>
        <w:ind w:left="-5" w:right="47"/>
      </w:pPr>
      <w:r w:rsidRPr="00DF6EA1">
        <w:rPr>
          <w:b/>
        </w:rPr>
        <w:t xml:space="preserve">RILEVATA </w:t>
      </w:r>
      <w:r w:rsidRPr="00DF6EA1">
        <w:t xml:space="preserve">la necessità di individuare, prioritariamente tra il personale interno, una figura per lo svolgimento dell’attività di </w:t>
      </w:r>
      <w:r w:rsidRPr="00DF6EA1">
        <w:rPr>
          <w:b/>
        </w:rPr>
        <w:t xml:space="preserve">Project Manager </w:t>
      </w:r>
      <w:r w:rsidRPr="00DF6EA1">
        <w:t xml:space="preserve">nell’ambito del progetto autorizzato e finanziato, cod. </w:t>
      </w:r>
      <w:r w:rsidR="00DF6EA1" w:rsidRPr="00DF6EA1">
        <w:t>Codice progetto M4C1I3.1-2023-1143-P-30080 - Titolo “ STEAM ON !”.</w:t>
      </w:r>
    </w:p>
    <w:p w:rsidR="00213DD0" w:rsidRPr="00FF78E7" w:rsidRDefault="008F130A">
      <w:pPr>
        <w:ind w:left="-5" w:right="47"/>
      </w:pPr>
      <w:r w:rsidRPr="00DF6EA1">
        <w:rPr>
          <w:b/>
        </w:rPr>
        <w:t xml:space="preserve">CONSIDERATO </w:t>
      </w:r>
      <w:r w:rsidRPr="00DF6EA1">
        <w:t xml:space="preserve">che il Dirigente Scolastico è idoneo a ricoprire l'incarico di project manager; </w:t>
      </w:r>
      <w:r w:rsidRPr="00DF6EA1">
        <w:rPr>
          <w:b/>
        </w:rPr>
        <w:t xml:space="preserve">CONSIDERATO </w:t>
      </w:r>
      <w:r w:rsidRPr="00DF6EA1">
        <w:t xml:space="preserve">che al Dirigente Scolastico, in ragione del suo specifico ruolo, l’incarico può </w:t>
      </w:r>
      <w:r w:rsidRPr="00FF78E7">
        <w:t xml:space="preserve">essere affidato direttamente senza necessità di procedure di selezione interne; </w:t>
      </w:r>
    </w:p>
    <w:p w:rsidR="00213DD0" w:rsidRPr="00FF78E7" w:rsidRDefault="008F130A">
      <w:pPr>
        <w:ind w:left="-5" w:right="47"/>
      </w:pPr>
      <w:r w:rsidRPr="00FF78E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2912364</wp:posOffset>
                </wp:positionH>
                <wp:positionV relativeFrom="paragraph">
                  <wp:posOffset>-36264</wp:posOffset>
                </wp:positionV>
                <wp:extent cx="3208020" cy="176784"/>
                <wp:effectExtent l="0" t="0" r="0" b="0"/>
                <wp:wrapNone/>
                <wp:docPr id="5992" name="Group 5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020" cy="176784"/>
                          <a:chOff x="0" y="0"/>
                          <a:chExt cx="3208020" cy="176784"/>
                        </a:xfrm>
                      </wpg:grpSpPr>
                      <wps:wsp>
                        <wps:cNvPr id="6849" name="Shape 6849"/>
                        <wps:cNvSpPr/>
                        <wps:spPr>
                          <a:xfrm>
                            <a:off x="0" y="0"/>
                            <a:ext cx="120091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176784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0" name="Shape 6850"/>
                        <wps:cNvSpPr/>
                        <wps:spPr>
                          <a:xfrm>
                            <a:off x="1200912" y="0"/>
                            <a:ext cx="200710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108" h="176784">
                                <a:moveTo>
                                  <a:pt x="0" y="0"/>
                                </a:moveTo>
                                <a:lnTo>
                                  <a:pt x="2007108" y="0"/>
                                </a:lnTo>
                                <a:lnTo>
                                  <a:pt x="200710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92" style="width:252.6pt;height:13.92pt;position:absolute;z-index:-2147483555;mso-position-horizontal-relative:text;mso-position-horizontal:absolute;margin-left:229.32pt;mso-position-vertical-relative:text;margin-top:-2.85553pt;" coordsize="32080,1767">
                <v:shape id="Shape 6851" style="position:absolute;width:12009;height:1767;left:0;top:0;" coordsize="1200912,176784" path="m0,0l1200912,0l1200912,176784l0,176784l0,0">
                  <v:stroke weight="0pt" endcap="flat" joinstyle="miter" miterlimit="10" on="false" color="#000000" opacity="0"/>
                  <v:fill on="true" color="#ffff00"/>
                </v:shape>
                <v:shape id="Shape 6852" style="position:absolute;width:20071;height:1767;left:12009;top:0;" coordsize="2007108,176784" path="m0,0l2007108,0l2007108,176784l0,17678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FF78E7">
        <w:rPr>
          <w:b/>
        </w:rPr>
        <w:t xml:space="preserve">VISTA </w:t>
      </w:r>
      <w:r w:rsidRPr="00FF78E7">
        <w:t>la delibera del Consiglio di Istituto n.</w:t>
      </w:r>
      <w:r w:rsidR="00DF6EA1" w:rsidRPr="00FF78E7">
        <w:t>________________________</w:t>
      </w:r>
      <w:r w:rsidRPr="00FF78E7">
        <w:t xml:space="preserve">, di approvazione della figura di </w:t>
      </w:r>
      <w:r w:rsidRPr="00FF78E7">
        <w:rPr>
          <w:b/>
        </w:rPr>
        <w:t>Project Manager</w:t>
      </w:r>
      <w:r w:rsidRPr="00FF78E7">
        <w:t xml:space="preserve"> nella persona del Dirigente Scolastico; </w:t>
      </w:r>
    </w:p>
    <w:p w:rsidR="00213DD0" w:rsidRPr="00FF78E7" w:rsidRDefault="008F130A">
      <w:pPr>
        <w:ind w:left="-5" w:right="47"/>
      </w:pPr>
      <w:bookmarkStart w:id="0" w:name="_GoBack"/>
      <w:bookmarkEnd w:id="0"/>
      <w:r w:rsidRPr="00FF78E7">
        <w:rPr>
          <w:b/>
          <w:highlight w:val="yellow"/>
        </w:rPr>
        <w:t xml:space="preserve">VISTA </w:t>
      </w:r>
      <w:r w:rsidRPr="00FF78E7">
        <w:rPr>
          <w:highlight w:val="yellow"/>
        </w:rPr>
        <w:t>la richiesta inoltrata all’USR competente di autorizzazione allo svolgimento del suddetto incarico, assunta agli atti con prot. n.</w:t>
      </w:r>
      <w:r w:rsidR="00DF6EA1" w:rsidRPr="00FF78E7">
        <w:rPr>
          <w:highlight w:val="yellow"/>
        </w:rPr>
        <w:t>_________________</w:t>
      </w:r>
      <w:r w:rsidRPr="00FF78E7">
        <w:rPr>
          <w:highlight w:val="yellow"/>
        </w:rPr>
        <w:t>;</w:t>
      </w:r>
      <w:r w:rsidRPr="00FF78E7">
        <w:t xml:space="preserve"> </w:t>
      </w:r>
    </w:p>
    <w:p w:rsidR="00213DD0" w:rsidRPr="00FF78E7" w:rsidRDefault="008F130A">
      <w:pPr>
        <w:spacing w:after="19" w:line="259" w:lineRule="auto"/>
        <w:ind w:left="0" w:right="0" w:firstLine="0"/>
        <w:jc w:val="left"/>
      </w:pPr>
      <w:r w:rsidRPr="00FF78E7">
        <w:t xml:space="preserve"> </w:t>
      </w:r>
    </w:p>
    <w:p w:rsidR="00213DD0" w:rsidRPr="00FF78E7" w:rsidRDefault="008F130A">
      <w:pPr>
        <w:spacing w:after="48" w:line="267" w:lineRule="auto"/>
        <w:ind w:left="-5" w:right="43"/>
      </w:pPr>
      <w:r w:rsidRPr="00FF78E7">
        <w:rPr>
          <w:i/>
        </w:rPr>
        <w:t>tutto ciò visto e rilevato, che costituisce parte integrante del presente documento</w:t>
      </w:r>
      <w:r w:rsidRPr="00FF78E7">
        <w:t xml:space="preserve"> </w:t>
      </w:r>
    </w:p>
    <w:p w:rsidR="00213DD0" w:rsidRPr="00FF78E7" w:rsidRDefault="008F130A">
      <w:pPr>
        <w:pStyle w:val="Titolo1"/>
        <w:ind w:left="271" w:right="63" w:hanging="271"/>
      </w:pPr>
      <w:r w:rsidRPr="00FF78E7">
        <w:t xml:space="preserve">E T E R M I N A </w:t>
      </w:r>
    </w:p>
    <w:p w:rsidR="00DF6EA1" w:rsidRPr="00FF78E7" w:rsidRDefault="008F130A" w:rsidP="00DF6EA1">
      <w:pPr>
        <w:ind w:left="-5" w:right="47"/>
      </w:pPr>
      <w:r w:rsidRPr="00FF78E7">
        <w:t>di assumere l’incarico di  Project manager, a titolo oneroso, per la realizzazione e il coordinamento degli interventi di cui  all’</w:t>
      </w:r>
      <w:r w:rsidR="00DF6EA1" w:rsidRPr="00FF78E7">
        <w:t xml:space="preserve"> per la regolamentazione dei rapporti di attuazione, gestione e controllo relativi al progetto “STEAM ON !”, CUP: B24D23003200006, finanziato nell’ambito del decreto del Ministro dell’istruzione e del merito 12 aprile 2023, n. 65, Missione 4 – Istruzione e Ricerca – Componente 1 – Potenziamento dell’offerta dei servizi di istruzione: dagli asili nido alle</w:t>
      </w:r>
    </w:p>
    <w:p w:rsidR="00213DD0" w:rsidRPr="00DF6EA1" w:rsidRDefault="00DF6EA1" w:rsidP="00DF6EA1">
      <w:pPr>
        <w:ind w:left="-5" w:right="47"/>
      </w:pPr>
      <w:r w:rsidRPr="00FF78E7">
        <w:t>Università – Investimento 3.1: Nuove competenze e nuovi linguaggi - Azioni di potenziamento delle competenze STEM e multilinguistiche (D.M. 65/2023)</w:t>
      </w:r>
      <w:r w:rsidR="008F130A" w:rsidRPr="00FF78E7">
        <w:t xml:space="preserve">, firmato dal Ministero dell’Istruzione e del Merito rappresentato dalla Dott.ssa Montesarchio, Direttore generale e coordinatrice dell’Unità di missione per il Piano nazionale di ripresa e resilienza, per il seguente intervento autorizzato e finanziato: </w:t>
      </w:r>
    </w:p>
    <w:tbl>
      <w:tblPr>
        <w:tblStyle w:val="TableGrid"/>
        <w:tblW w:w="6468" w:type="dxa"/>
        <w:tblInd w:w="1586" w:type="dxa"/>
        <w:tblCellMar>
          <w:top w:w="81" w:type="dxa"/>
          <w:left w:w="38" w:type="dxa"/>
        </w:tblCellMar>
        <w:tblLook w:val="04A0" w:firstRow="1" w:lastRow="0" w:firstColumn="1" w:lastColumn="0" w:noHBand="0" w:noVBand="1"/>
      </w:tblPr>
      <w:tblGrid>
        <w:gridCol w:w="3617"/>
        <w:gridCol w:w="2851"/>
      </w:tblGrid>
      <w:tr w:rsidR="00213DD0" w:rsidRPr="001C4086">
        <w:trPr>
          <w:trHeight w:val="902"/>
        </w:trPr>
        <w:tc>
          <w:tcPr>
            <w:tcW w:w="361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:rsidR="00213DD0" w:rsidRPr="00DF6EA1" w:rsidRDefault="008F130A">
            <w:pPr>
              <w:spacing w:after="0" w:line="259" w:lineRule="auto"/>
              <w:ind w:left="0" w:right="43" w:firstLine="0"/>
              <w:jc w:val="center"/>
            </w:pPr>
            <w:r w:rsidRPr="00DF6EA1">
              <w:rPr>
                <w:b/>
              </w:rPr>
              <w:lastRenderedPageBreak/>
              <w:t>Codice identificativo progetto</w:t>
            </w:r>
            <w:r w:rsidRPr="00DF6EA1">
              <w:t xml:space="preserve"> </w:t>
            </w:r>
          </w:p>
        </w:tc>
        <w:tc>
          <w:tcPr>
            <w:tcW w:w="285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:rsidR="00213DD0" w:rsidRPr="00DF6EA1" w:rsidRDefault="008F130A">
            <w:pPr>
              <w:spacing w:after="0" w:line="259" w:lineRule="auto"/>
              <w:ind w:left="19" w:right="0" w:firstLine="0"/>
              <w:jc w:val="center"/>
            </w:pPr>
            <w:r w:rsidRPr="00DF6EA1">
              <w:rPr>
                <w:b/>
              </w:rPr>
              <w:t>Totale autorizzato progetto</w:t>
            </w:r>
            <w:r w:rsidRPr="00DF6EA1">
              <w:t xml:space="preserve"> </w:t>
            </w:r>
          </w:p>
        </w:tc>
      </w:tr>
      <w:tr w:rsidR="00213DD0">
        <w:trPr>
          <w:trHeight w:val="1178"/>
        </w:trPr>
        <w:tc>
          <w:tcPr>
            <w:tcW w:w="3617" w:type="dxa"/>
            <w:tcBorders>
              <w:top w:val="single" w:sz="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13DD0" w:rsidRPr="00DF6EA1" w:rsidRDefault="008F130A">
            <w:pPr>
              <w:spacing w:after="259" w:line="259" w:lineRule="auto"/>
              <w:ind w:left="0" w:right="0" w:firstLine="0"/>
            </w:pPr>
            <w:r w:rsidRPr="00DF6EA1">
              <w:t xml:space="preserve">CNP </w:t>
            </w:r>
            <w:r w:rsidR="00DF6EA1" w:rsidRPr="00DF6EA1">
              <w:t>- M4C1I3.1-2023-1143-P-30080</w:t>
            </w:r>
          </w:p>
          <w:p w:rsidR="00213DD0" w:rsidRPr="00DF6EA1" w:rsidRDefault="008F130A">
            <w:pPr>
              <w:spacing w:after="0" w:line="259" w:lineRule="auto"/>
              <w:ind w:left="0" w:right="41" w:firstLine="0"/>
              <w:jc w:val="center"/>
            </w:pPr>
            <w:r w:rsidRPr="00DF6EA1">
              <w:t xml:space="preserve">CUP: </w:t>
            </w:r>
            <w:r w:rsidR="00DF6EA1" w:rsidRPr="00DF6EA1">
              <w:t>B24D23003200006</w:t>
            </w:r>
          </w:p>
        </w:tc>
        <w:tc>
          <w:tcPr>
            <w:tcW w:w="2851" w:type="dxa"/>
            <w:tcBorders>
              <w:top w:val="single" w:sz="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13DD0" w:rsidRPr="00DF6EA1" w:rsidRDefault="008F130A">
            <w:pPr>
              <w:spacing w:after="0" w:line="259" w:lineRule="auto"/>
              <w:ind w:left="0" w:right="43" w:firstLine="0"/>
              <w:jc w:val="center"/>
            </w:pPr>
            <w:r w:rsidRPr="00DF6EA1">
              <w:t>€</w:t>
            </w:r>
            <w:r w:rsidR="00DF6EA1" w:rsidRPr="00DF6EA1">
              <w:t xml:space="preserve"> 58.405,60</w:t>
            </w:r>
            <w:r w:rsidRPr="00DF6EA1">
              <w:t xml:space="preserve"> </w:t>
            </w:r>
          </w:p>
        </w:tc>
      </w:tr>
    </w:tbl>
    <w:p w:rsidR="00213DD0" w:rsidRDefault="008F130A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13DD0" w:rsidRDefault="008F130A">
      <w:pPr>
        <w:ind w:left="-5" w:right="47"/>
      </w:pPr>
      <w:r>
        <w:t xml:space="preserve">Il Dirigente scolastico nel ruolo di Project Manager dovrà occuparsi dell'avvio, della pianificazione, del coordinamento, dell’esecuzione, del controllo e della chiusura del progetto in oggetto in ossequio alla normativa vigente e alle istruzioni operative fornite dal Ministero dell’Istruzione e del Merito Per l’incarico verrà corrisposto l’importo orario lordo dipendente di € 25,00 ovvero € 33,18 lordo stato, per n. 100 ore di impegno e, dunque, per un importo complessivo lordo Stato di € 3.318,00.  Sul compenso, da corrispondere in proporzione alle ore effettivamente e personalmente svolte, saranno applicate le ritenute fiscali e previdenziali nella misura prevista dalle vigenti norme di legge.  </w:t>
      </w:r>
    </w:p>
    <w:p w:rsidR="00213DD0" w:rsidRDefault="008F130A">
      <w:pPr>
        <w:ind w:left="-5" w:right="47"/>
      </w:pPr>
      <w:r>
        <w:t xml:space="preserve">Le attività oggetto dell’incarico verranno annotate su apposito registro datato e firmato. La liquidazione del compenso avverrà in un’unica soluzione in seguito ad effettiva erogazione dei fondi da parte del Ministero. </w:t>
      </w:r>
    </w:p>
    <w:p w:rsidR="00213DD0" w:rsidRDefault="008F130A">
      <w:pPr>
        <w:ind w:left="-5" w:right="47"/>
      </w:pPr>
      <w:r>
        <w:t xml:space="preserve">Il presente documento verrà pubblicato sul sito web dell’Istituzione Scolastica per la massima diffusione, nelle sezioni albo online e amministrazione trasparente, nonché nell’apposita sezione all’uopo dedicata. </w:t>
      </w:r>
    </w:p>
    <w:p w:rsidR="00213DD0" w:rsidRDefault="008F130A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213DD0" w:rsidRDefault="008F130A">
      <w:pPr>
        <w:spacing w:after="20" w:line="259" w:lineRule="auto"/>
        <w:ind w:left="0" w:right="0" w:firstLine="0"/>
        <w:jc w:val="right"/>
      </w:pPr>
      <w:r>
        <w:t xml:space="preserve"> </w:t>
      </w:r>
    </w:p>
    <w:p w:rsidR="00213DD0" w:rsidRDefault="008F130A">
      <w:pPr>
        <w:spacing w:after="0" w:line="273" w:lineRule="auto"/>
        <w:ind w:left="7966" w:right="0" w:hanging="600"/>
        <w:jc w:val="left"/>
      </w:pPr>
      <w:r>
        <w:rPr>
          <w:b/>
          <w:i/>
        </w:rPr>
        <w:t xml:space="preserve">Il Dirigente Scolastico </w:t>
      </w:r>
      <w:r>
        <w:rPr>
          <w:i/>
        </w:rPr>
        <w:t xml:space="preserve"> Gabriele Petrone </w:t>
      </w:r>
    </w:p>
    <w:sectPr w:rsidR="00213DD0">
      <w:footerReference w:type="even" r:id="rId8"/>
      <w:footerReference w:type="default" r:id="rId9"/>
      <w:footerReference w:type="first" r:id="rId10"/>
      <w:pgSz w:w="11906" w:h="16838"/>
      <w:pgMar w:top="1473" w:right="1075" w:bottom="1160" w:left="1133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4C2" w:rsidRDefault="000B34C2">
      <w:pPr>
        <w:spacing w:after="0" w:line="240" w:lineRule="auto"/>
      </w:pPr>
      <w:r>
        <w:separator/>
      </w:r>
    </w:p>
  </w:endnote>
  <w:endnote w:type="continuationSeparator" w:id="0">
    <w:p w:rsidR="000B34C2" w:rsidRDefault="000B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DD0" w:rsidRDefault="008F130A">
    <w:pPr>
      <w:spacing w:after="0" w:line="259" w:lineRule="auto"/>
      <w:ind w:left="0" w:right="0" w:firstLine="0"/>
      <w:jc w:val="right"/>
    </w:pPr>
    <w:r>
      <w:t xml:space="preserve"> </w:t>
    </w:r>
  </w:p>
  <w:p w:rsidR="00213DD0" w:rsidRDefault="008F130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13DD0" w:rsidRDefault="008F130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DD0" w:rsidRDefault="008F130A">
    <w:pPr>
      <w:spacing w:after="0" w:line="259" w:lineRule="auto"/>
      <w:ind w:left="0" w:right="0" w:firstLine="0"/>
      <w:jc w:val="right"/>
    </w:pPr>
    <w:r>
      <w:t xml:space="preserve"> </w:t>
    </w:r>
  </w:p>
  <w:p w:rsidR="00213DD0" w:rsidRDefault="008F130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13DD0" w:rsidRDefault="008F130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DD0" w:rsidRDefault="008F130A">
    <w:pPr>
      <w:spacing w:after="0" w:line="259" w:lineRule="auto"/>
      <w:ind w:left="0" w:right="0" w:firstLine="0"/>
      <w:jc w:val="right"/>
    </w:pPr>
    <w:r>
      <w:t xml:space="preserve"> </w:t>
    </w:r>
  </w:p>
  <w:p w:rsidR="00213DD0" w:rsidRDefault="008F130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13DD0" w:rsidRDefault="008F130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4C2" w:rsidRDefault="000B34C2">
      <w:pPr>
        <w:spacing w:after="0" w:line="240" w:lineRule="auto"/>
      </w:pPr>
      <w:r>
        <w:separator/>
      </w:r>
    </w:p>
  </w:footnote>
  <w:footnote w:type="continuationSeparator" w:id="0">
    <w:p w:rsidR="000B34C2" w:rsidRDefault="000B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45FDB"/>
    <w:multiLevelType w:val="hybridMultilevel"/>
    <w:tmpl w:val="248A38E6"/>
    <w:lvl w:ilvl="0" w:tplc="4AD432EC">
      <w:start w:val="5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4211F8">
      <w:start w:val="1"/>
      <w:numFmt w:val="lowerLetter"/>
      <w:lvlText w:val="%2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8E1BE">
      <w:start w:val="1"/>
      <w:numFmt w:val="lowerRoman"/>
      <w:lvlText w:val="%3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03A62">
      <w:start w:val="1"/>
      <w:numFmt w:val="decimal"/>
      <w:lvlText w:val="%4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458EC">
      <w:start w:val="1"/>
      <w:numFmt w:val="lowerLetter"/>
      <w:lvlText w:val="%5"/>
      <w:lvlJc w:val="left"/>
      <w:pPr>
        <w:ind w:left="6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BA8B92">
      <w:start w:val="1"/>
      <w:numFmt w:val="lowerRoman"/>
      <w:lvlText w:val="%6"/>
      <w:lvlJc w:val="left"/>
      <w:pPr>
        <w:ind w:left="7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ACDE7A">
      <w:start w:val="1"/>
      <w:numFmt w:val="decimal"/>
      <w:lvlText w:val="%7"/>
      <w:lvlJc w:val="left"/>
      <w:pPr>
        <w:ind w:left="8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0AF7B8">
      <w:start w:val="1"/>
      <w:numFmt w:val="lowerLetter"/>
      <w:lvlText w:val="%8"/>
      <w:lvlJc w:val="left"/>
      <w:pPr>
        <w:ind w:left="9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04F64">
      <w:start w:val="1"/>
      <w:numFmt w:val="lowerRoman"/>
      <w:lvlText w:val="%9"/>
      <w:lvlJc w:val="left"/>
      <w:pPr>
        <w:ind w:left="9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D0"/>
    <w:rsid w:val="000B34C2"/>
    <w:rsid w:val="001C4086"/>
    <w:rsid w:val="00213DD0"/>
    <w:rsid w:val="008F130A"/>
    <w:rsid w:val="00DF6EA1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0447B-B028-4445-A346-08BE974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9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2004</Words>
  <Characters>12831</Characters>
  <Application>Microsoft Office Word</Application>
  <DocSecurity>0</DocSecurity>
  <Lines>346</Lines>
  <Paragraphs>132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cp:lastModifiedBy>Client02</cp:lastModifiedBy>
  <cp:revision>3</cp:revision>
  <dcterms:created xsi:type="dcterms:W3CDTF">2024-05-07T15:30:00Z</dcterms:created>
  <dcterms:modified xsi:type="dcterms:W3CDTF">2024-05-07T15:30:00Z</dcterms:modified>
</cp:coreProperties>
</file>