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3745D" w:rsidRPr="002A0B6B" w:rsidRDefault="002A0B6B">
      <w:pPr>
        <w:pStyle w:val="Titolo3"/>
        <w:spacing w:before="0" w:after="0"/>
        <w:ind w:left="567" w:right="567"/>
        <w:rPr>
          <w:rFonts w:asciiTheme="majorHAnsi" w:hAnsiTheme="majorHAnsi" w:cstheme="majorHAnsi"/>
          <w:sz w:val="22"/>
          <w:szCs w:val="22"/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2A0B6B">
        <w:rPr>
          <w:rFonts w:asciiTheme="majorHAnsi" w:hAnsiTheme="majorHAnsi" w:cstheme="majorHAnsi"/>
          <w:sz w:val="22"/>
          <w:szCs w:val="22"/>
          <w:highlight w:val="white"/>
        </w:rPr>
        <w:t xml:space="preserve">ALLEGATO </w:t>
      </w:r>
      <w:proofErr w:type="spellStart"/>
      <w:r w:rsidRPr="002A0B6B">
        <w:rPr>
          <w:rFonts w:asciiTheme="majorHAnsi" w:hAnsiTheme="majorHAnsi" w:cstheme="majorHAnsi"/>
          <w:sz w:val="22"/>
          <w:szCs w:val="22"/>
          <w:highlight w:val="white"/>
        </w:rPr>
        <w:t>Decreto</w:t>
      </w:r>
      <w:proofErr w:type="spellEnd"/>
      <w:r w:rsidRPr="002A0B6B">
        <w:rPr>
          <w:rFonts w:asciiTheme="majorHAnsi" w:hAnsiTheme="majorHAnsi" w:cstheme="majorHAnsi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hAnsiTheme="majorHAnsi" w:cstheme="majorHAnsi"/>
          <w:sz w:val="22"/>
          <w:szCs w:val="22"/>
          <w:highlight w:val="white"/>
        </w:rPr>
        <w:t>nomina</w:t>
      </w:r>
      <w:proofErr w:type="spellEnd"/>
      <w:r w:rsidRPr="002A0B6B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hAnsiTheme="majorHAnsi" w:cstheme="majorHAnsi"/>
          <w:sz w:val="22"/>
          <w:szCs w:val="22"/>
          <w:highlight w:val="white"/>
        </w:rPr>
        <w:t>Commissione</w:t>
      </w:r>
      <w:proofErr w:type="spellEnd"/>
      <w:r w:rsidRPr="002A0B6B">
        <w:rPr>
          <w:rFonts w:asciiTheme="majorHAnsi" w:hAnsiTheme="majorHAnsi" w:cstheme="majorHAnsi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hAnsiTheme="majorHAnsi" w:cstheme="majorHAnsi"/>
          <w:sz w:val="22"/>
          <w:szCs w:val="22"/>
          <w:highlight w:val="white"/>
        </w:rPr>
        <w:t>Valutazione</w:t>
      </w:r>
      <w:proofErr w:type="spellEnd"/>
      <w:r w:rsidRPr="002A0B6B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r w:rsidRPr="002A0B6B">
        <w:rPr>
          <w:rFonts w:asciiTheme="majorHAnsi" w:hAnsiTheme="majorHAnsi" w:cstheme="majorHAnsi"/>
          <w:sz w:val="22"/>
          <w:szCs w:val="22"/>
          <w:highlight w:val="white"/>
        </w:rPr>
        <w:br/>
        <w:t>“</w:t>
      </w:r>
      <w:proofErr w:type="spellStart"/>
      <w:r w:rsidRPr="002A0B6B">
        <w:rPr>
          <w:rFonts w:asciiTheme="majorHAnsi" w:hAnsiTheme="majorHAnsi" w:cstheme="majorHAnsi"/>
          <w:sz w:val="22"/>
          <w:szCs w:val="22"/>
          <w:highlight w:val="white"/>
        </w:rPr>
        <w:t>Dichiarazione</w:t>
      </w:r>
      <w:proofErr w:type="spellEnd"/>
      <w:r w:rsidRPr="002A0B6B">
        <w:rPr>
          <w:rFonts w:asciiTheme="majorHAnsi" w:hAnsiTheme="majorHAnsi" w:cstheme="majorHAnsi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hAnsiTheme="majorHAnsi" w:cstheme="majorHAnsi"/>
          <w:sz w:val="22"/>
          <w:szCs w:val="22"/>
          <w:highlight w:val="white"/>
        </w:rPr>
        <w:t>Insussistenza</w:t>
      </w:r>
      <w:proofErr w:type="spellEnd"/>
      <w:r w:rsidRPr="002A0B6B">
        <w:rPr>
          <w:rFonts w:asciiTheme="majorHAnsi" w:hAnsiTheme="majorHAnsi" w:cstheme="majorHAnsi"/>
          <w:sz w:val="22"/>
          <w:szCs w:val="22"/>
          <w:highlight w:val="white"/>
        </w:rPr>
        <w:t xml:space="preserve"> Cause </w:t>
      </w:r>
      <w:proofErr w:type="spellStart"/>
      <w:r w:rsidRPr="002A0B6B">
        <w:rPr>
          <w:rFonts w:asciiTheme="majorHAnsi" w:hAnsiTheme="majorHAnsi" w:cstheme="majorHAnsi"/>
          <w:sz w:val="22"/>
          <w:szCs w:val="22"/>
          <w:highlight w:val="white"/>
        </w:rPr>
        <w:t>Incompatibilità</w:t>
      </w:r>
      <w:proofErr w:type="spellEnd"/>
      <w:r w:rsidRPr="002A0B6B">
        <w:rPr>
          <w:rFonts w:asciiTheme="majorHAnsi" w:hAnsiTheme="majorHAnsi" w:cstheme="majorHAnsi"/>
          <w:sz w:val="22"/>
          <w:szCs w:val="22"/>
          <w:highlight w:val="white"/>
        </w:rPr>
        <w:t xml:space="preserve">” </w:t>
      </w:r>
    </w:p>
    <w:p w14:paraId="00000002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Oggetto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: </w:t>
      </w: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Dichiarazione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insussistenza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cause </w:t>
      </w: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incompatibilità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Commissione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valutazione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- </w:t>
      </w: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Avviso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selezione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interna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prot.</w:t>
      </w:r>
      <w:proofErr w:type="spellEnd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 xml:space="preserve"> n. </w:t>
      </w:r>
      <w:bookmarkStart w:id="3" w:name="bookmark=id.3znysh7" w:colFirst="0" w:colLast="0"/>
      <w:bookmarkEnd w:id="3"/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3131 del 05/07/2024</w:t>
      </w:r>
    </w:p>
    <w:p w14:paraId="00000003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bookmarkStart w:id="4" w:name="bookmark=id.2et92p0" w:colFirst="0" w:colLast="0"/>
      <w:bookmarkStart w:id="5" w:name="bookmark=id.tyjcwt" w:colFirst="0" w:colLast="0"/>
      <w:bookmarkEnd w:id="4"/>
      <w:bookmarkEnd w:id="5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Avviso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Pubblico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bookmarkStart w:id="6" w:name="bookmark=id.3dy6vkm" w:colFirst="0" w:colLast="0"/>
      <w:bookmarkEnd w:id="6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D.M. 66/2023 - PNRR -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Missione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4 –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Istruzione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Ricerca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–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Componente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1 –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Potenziamento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dell’offerta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dei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servizi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all’istruzione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: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dagli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asili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nido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all’Università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-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Investimento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2.1 “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Didattica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digitale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integrata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formazio</w:t>
      </w:r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ne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alla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transizione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digitale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per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il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personale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scolastico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” del Piano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nazionale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ripresa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e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resilienza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finanziato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dall’Unione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europea</w:t>
      </w:r>
      <w:proofErr w:type="spellEnd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 – Next Generation EU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 xml:space="preserve">- CUP: </w:t>
      </w:r>
      <w:bookmarkStart w:id="7" w:name="bookmark=id.1t3h5sf" w:colFirst="0" w:colLast="0"/>
      <w:bookmarkEnd w:id="7"/>
      <w:r w:rsidRPr="002A0B6B">
        <w:rPr>
          <w:rFonts w:asciiTheme="majorHAnsi" w:eastAsia="Liberation Serif" w:hAnsiTheme="majorHAnsi" w:cstheme="majorHAnsi"/>
          <w:i/>
          <w:color w:val="000000"/>
          <w:sz w:val="22"/>
          <w:szCs w:val="22"/>
          <w:highlight w:val="white"/>
        </w:rPr>
        <w:t>C34D23002900006</w:t>
      </w:r>
    </w:p>
    <w:p w14:paraId="00000004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Titolo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progetto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: </w:t>
      </w:r>
      <w:bookmarkStart w:id="8" w:name="bookmark=id.4d34og8" w:colFirst="0" w:colLast="0"/>
      <w:bookmarkEnd w:id="8"/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Innovazioni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digitali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al CPIA Lindeman</w:t>
      </w:r>
    </w:p>
    <w:p w14:paraId="00000005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Codice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progetto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: </w:t>
      </w:r>
      <w:bookmarkStart w:id="9" w:name="bookmark=id.2s8eyo1" w:colFirst="0" w:colLast="0"/>
      <w:bookmarkEnd w:id="9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M4C1I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2.1-2023-1222-P-35637</w:t>
      </w:r>
    </w:p>
    <w:p w14:paraId="00000006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bookmarkStart w:id="10" w:name="bookmark=id.17dp8vu" w:colFirst="0" w:colLast="0"/>
      <w:bookmarkStart w:id="11" w:name="bookmark=id.3rdcrjn" w:colFirst="0" w:colLast="0"/>
      <w:bookmarkEnd w:id="10"/>
      <w:bookmarkEnd w:id="11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 xml:space="preserve">Il/La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sottoscritto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/a ________________________________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nato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/a a ________________________________ (_____)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 - ___ - ______ in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servizio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nell’a.s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 2023/202</w:t>
      </w:r>
      <w:bookmarkStart w:id="12" w:name="bookmark=id.26in1rg" w:colFirst="0" w:colLast="0"/>
      <w:bookmarkEnd w:id="12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4</w:t>
      </w:r>
      <w:r w:rsidRPr="002A0B6B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presso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codesto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Istituto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qualità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________________________________ ,</w:t>
      </w:r>
    </w:p>
    <w:p w14:paraId="00000007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C</w:t>
      </w:r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ONSAPEVOLE</w:t>
      </w:r>
    </w:p>
    <w:p w14:paraId="00000008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responsabilità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conseguenze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civili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previste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casi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rilascio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dichiarazioni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mendaci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e/o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formazione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atti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falsi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e/o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uso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degli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stessi</w:t>
      </w:r>
      <w:proofErr w:type="spellEnd"/>
    </w:p>
    <w:p w14:paraId="00000009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r w:rsidRPr="002A0B6B">
        <w:rPr>
          <w:rFonts w:asciiTheme="majorHAnsi" w:eastAsia="Liberation Serif" w:hAnsiTheme="majorHAnsi" w:cstheme="majorHAnsi"/>
          <w:b/>
          <w:color w:val="000000"/>
          <w:sz w:val="22"/>
          <w:szCs w:val="22"/>
          <w:highlight w:val="white"/>
        </w:rPr>
        <w:t>DICHIARA</w:t>
      </w:r>
    </w:p>
    <w:p w14:paraId="0000000A" w14:textId="77777777" w:rsidR="0043745D" w:rsidRPr="002A0B6B" w:rsidRDefault="002A0B6B" w:rsidP="002A0B6B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trovarsi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situazione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incompatibilità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previsto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dal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d.lgs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n. 39/2013 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dall’art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53,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d.lgs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 n. 165/2001; </w:t>
      </w:r>
    </w:p>
    <w:p w14:paraId="0000000B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ovvero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caso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cui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sussistano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situazioni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incompatibilità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che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stesse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sono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le seguenti:__________________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_______________________________________________________________________________________________________________________________________________________________________________________________________________;</w:t>
      </w:r>
    </w:p>
    <w:p w14:paraId="0000000C" w14:textId="77777777" w:rsidR="0043745D" w:rsidRPr="002A0B6B" w:rsidRDefault="002A0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che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dell’art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35-bis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d.lgs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n. 165/2001, non ha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riportato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alcuna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condanna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neppure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pronunciata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sentenza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non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passata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giudicato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per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delitti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previsti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capo I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titolo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II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libro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secondo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codice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penale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14:paraId="0000000D" w14:textId="77777777" w:rsidR="0043745D" w:rsidRPr="002A0B6B" w:rsidRDefault="002A0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non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avere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direttame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indirettamente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un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interesse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finanziario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economico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altro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interesse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personale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procedimento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esame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per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gli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effetti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previsto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dal D.M. 26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aprile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2022, n. 105,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recante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Codice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Comportamento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dipendenti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Ministero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ell’istruzione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merito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né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trovarsi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in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altra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condizione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conflitto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interessi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(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neppure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potenziale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) 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dell’art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6-bis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legge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n. 241/1990. In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particolare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che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l’assunzione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dell’incarico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membro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Commissione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esaminatrice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:</w:t>
      </w:r>
    </w:p>
    <w:p w14:paraId="0000000E" w14:textId="77777777" w:rsidR="0043745D" w:rsidRPr="002A0B6B" w:rsidRDefault="002A0B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left="1981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non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oinvolge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interessi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propri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14:paraId="0000000F" w14:textId="77777777" w:rsidR="0043745D" w:rsidRPr="002A0B6B" w:rsidRDefault="002A0B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left="1981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non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coinvolge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interessi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parenti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affini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entro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secondo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grado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coniuge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conviventi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oppure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persone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con le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abbia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rapporti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frequentazione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abituale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14:paraId="00000010" w14:textId="77777777" w:rsidR="0043745D" w:rsidRPr="002A0B6B" w:rsidRDefault="002A0B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left="1981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non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coinvolge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interessi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soggetti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od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organizzazioni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con c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ui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egli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coniuge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abbia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causa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pendente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grave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inimicizia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rapporti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credito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debito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significativi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14:paraId="00000011" w14:textId="77777777" w:rsidR="0043745D" w:rsidRPr="002A0B6B" w:rsidRDefault="002A0B6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1"/>
        </w:tabs>
        <w:spacing w:line="276" w:lineRule="auto"/>
        <w:ind w:left="1981" w:right="567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non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coinvolge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interessi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soggetti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od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organizzazioni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cui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tutore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curatore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procuratore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agente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titolare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effettivo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ovvero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enti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associaz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ioni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anche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non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riconosciute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comitati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società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stabilimenti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cui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sia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amministratore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gerente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o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dirigente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14:paraId="00000012" w14:textId="77777777" w:rsidR="0043745D" w:rsidRPr="002A0B6B" w:rsidRDefault="002A0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aver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piena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cognizione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del D.M. 26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aprile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2022, n. 105,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recante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Codice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Comportamento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dipendenti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Ministero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dell’istruzione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merito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14:paraId="00000013" w14:textId="77777777" w:rsidR="0043745D" w:rsidRPr="002A0B6B" w:rsidRDefault="002A0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impegnarsi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comunicare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tempestivamente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all’Istituzione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scolastica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eventuali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variazioni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che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dov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intervenire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nel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corso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svolgimento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dell’incarico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14:paraId="00000014" w14:textId="77777777" w:rsidR="0043745D" w:rsidRPr="002A0B6B" w:rsidRDefault="002A0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lastRenderedPageBreak/>
        <w:t xml:space="preserve">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impegnarsi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altresì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a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comunicare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all’Istituzione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scolastica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qualsiasi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altra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circostanza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sopravvenuta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carattere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ostativo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rispetto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all’espletamento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dell’incarico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;</w:t>
      </w:r>
    </w:p>
    <w:p w14:paraId="00000015" w14:textId="77777777" w:rsidR="0043745D" w:rsidRPr="002A0B6B" w:rsidRDefault="002A0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di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essere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stato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informato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sensi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dell’art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. 13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Regolamento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(UE) 2016/679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Parlamento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europeo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Consiglio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del 27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aprile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2016 e del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decreto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legislativo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30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giugno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2003, n. 196, circa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trattamento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dei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dati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personali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raccolti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e, in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particolare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che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tali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dati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saranno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trattat</w:t>
      </w: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anche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con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strumenti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informatici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,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esclusivamente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per le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finalità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per le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quali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le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presenti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dichiarazioni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vengono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rese e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fornisce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il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relativo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</w:t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consenso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.</w:t>
      </w:r>
    </w:p>
    <w:p w14:paraId="00000016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</w:pPr>
      <w:bookmarkStart w:id="13" w:name="bookmark=id.35nkun2" w:colFirst="0" w:colLast="0"/>
      <w:bookmarkStart w:id="14" w:name="bookmark=id.lnxbz9" w:colFirst="0" w:colLast="0"/>
      <w:bookmarkEnd w:id="13"/>
      <w:bookmarkEnd w:id="14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</w:r>
      <w:proofErr w:type="spellStart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Luogo</w:t>
      </w:r>
      <w:proofErr w:type="spellEnd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 xml:space="preserve"> ____________________ , data __________</w:t>
      </w:r>
    </w:p>
    <w:p w14:paraId="00000017" w14:textId="77777777" w:rsidR="0043745D" w:rsidRPr="002A0B6B" w:rsidRDefault="002A0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br/>
        <w:t>Firma ___</w:t>
      </w:r>
      <w:bookmarkStart w:id="15" w:name="_GoBack"/>
      <w:bookmarkEnd w:id="15"/>
      <w:r w:rsidRPr="002A0B6B">
        <w:rPr>
          <w:rFonts w:asciiTheme="majorHAnsi" w:eastAsia="Liberation Serif" w:hAnsiTheme="majorHAnsi" w:cstheme="majorHAnsi"/>
          <w:color w:val="000000"/>
          <w:sz w:val="22"/>
          <w:szCs w:val="22"/>
          <w:highlight w:val="white"/>
        </w:rPr>
        <w:t>_____________________________</w:t>
      </w:r>
    </w:p>
    <w:sectPr w:rsidR="0043745D" w:rsidRPr="002A0B6B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F00"/>
    <w:multiLevelType w:val="multilevel"/>
    <w:tmpl w:val="7F88188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33A455DE"/>
    <w:multiLevelType w:val="multilevel"/>
    <w:tmpl w:val="FA424896"/>
    <w:lvl w:ilvl="0">
      <w:start w:val="1"/>
      <w:numFmt w:val="bullet"/>
      <w:lvlText w:val=""/>
      <w:lvlJc w:val="left"/>
      <w:pPr>
        <w:ind w:left="707" w:hanging="282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33ED4672"/>
    <w:multiLevelType w:val="hybridMultilevel"/>
    <w:tmpl w:val="764CDAE6"/>
    <w:lvl w:ilvl="0" w:tplc="0410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3">
    <w:nsid w:val="5A356E2C"/>
    <w:multiLevelType w:val="multilevel"/>
    <w:tmpl w:val="A14ED47A"/>
    <w:lvl w:ilvl="0">
      <w:start w:val="1"/>
      <w:numFmt w:val="bullet"/>
      <w:lvlText w:val=""/>
      <w:lvlJc w:val="left"/>
      <w:pPr>
        <w:ind w:left="707" w:hanging="282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3745D"/>
    <w:rsid w:val="002A0B6B"/>
    <w:rsid w:val="004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A0B6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A0B6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jKBzdVR5RSlvac5FEZ6DvB8NLg==">CgMxLjAyCmlkLjMwajB6bGwyCmlkLjFmb2I5dGUyCWlkLmdqZGd4czIKaWQuM3pueXNoNzIKaWQuMmV0OTJwMDIJaWQudHlqY3d0MgppZC4zZHk2dmttMgppZC4xdDNoNXNmMgppZC40ZDM0b2c4MgppZC4yczhleW8xMgppZC4xN2RwOHZ1MgppZC4zcmRjcmpuMgppZC4yNmluMXJnMgppZC4zNW5rdW4yMglpZC5sbnhiejk4AHIhMTJXdnFiQ3h4NVcyZnhOTl9jRTliQ0JDYlRXY0N6Vn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Vincenzo</cp:lastModifiedBy>
  <cp:revision>2</cp:revision>
  <dcterms:created xsi:type="dcterms:W3CDTF">2024-07-17T13:00:00Z</dcterms:created>
  <dcterms:modified xsi:type="dcterms:W3CDTF">2024-07-17T13:00:00Z</dcterms:modified>
</cp:coreProperties>
</file>