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9621" w14:textId="77777777" w:rsidR="00257200" w:rsidRPr="004B071F" w:rsidRDefault="00257200" w:rsidP="004B071F">
      <w:pPr>
        <w:jc w:val="center"/>
        <w:rPr>
          <w:b/>
          <w:sz w:val="22"/>
          <w:szCs w:val="22"/>
        </w:rPr>
      </w:pPr>
      <w:r w:rsidRPr="004B071F">
        <w:rPr>
          <w:b/>
          <w:sz w:val="22"/>
          <w:szCs w:val="22"/>
        </w:rPr>
        <w:t>INFORMATIVA AI SENSI DELL’ART 13 DEL REGOLAMENTO EUROPEO N. 679/2016</w:t>
      </w:r>
    </w:p>
    <w:p w14:paraId="6D063FDC" w14:textId="206AB154" w:rsidR="00257200" w:rsidRPr="004B071F" w:rsidRDefault="00257200" w:rsidP="004B071F">
      <w:pPr>
        <w:jc w:val="both"/>
        <w:rPr>
          <w:sz w:val="22"/>
          <w:szCs w:val="22"/>
        </w:rPr>
      </w:pPr>
    </w:p>
    <w:p w14:paraId="3821ABAC" w14:textId="7EC3BC3F" w:rsidR="009A226B" w:rsidRPr="004B071F" w:rsidRDefault="009A226B" w:rsidP="004B071F">
      <w:pPr>
        <w:jc w:val="both"/>
        <w:rPr>
          <w:sz w:val="22"/>
          <w:szCs w:val="22"/>
        </w:rPr>
      </w:pPr>
    </w:p>
    <w:p w14:paraId="3F4FE497" w14:textId="15B7197F" w:rsidR="009A226B" w:rsidRPr="004B071F" w:rsidRDefault="009A226B" w:rsidP="004B071F">
      <w:pPr>
        <w:jc w:val="both"/>
        <w:rPr>
          <w:sz w:val="22"/>
          <w:szCs w:val="22"/>
        </w:rPr>
      </w:pPr>
      <w:r w:rsidRPr="004B071F">
        <w:rPr>
          <w:sz w:val="22"/>
          <w:szCs w:val="22"/>
        </w:rPr>
        <w:t xml:space="preserve">Il CPIA </w:t>
      </w:r>
      <w:r w:rsidRPr="004B071F">
        <w:rPr>
          <w:sz w:val="22"/>
          <w:szCs w:val="22"/>
        </w:rPr>
        <w:t xml:space="preserve">2 </w:t>
      </w:r>
      <w:r w:rsidRPr="004B071F">
        <w:rPr>
          <w:sz w:val="22"/>
          <w:szCs w:val="22"/>
        </w:rPr>
        <w:t>metropolitano di Bologna</w:t>
      </w:r>
      <w:r w:rsidRPr="004B071F">
        <w:rPr>
          <w:sz w:val="22"/>
          <w:szCs w:val="22"/>
        </w:rPr>
        <w:t xml:space="preserve"> in qualità di Titolare del trattamento, </w:t>
      </w:r>
      <w:r w:rsidRPr="004B071F">
        <w:rPr>
          <w:sz w:val="22"/>
          <w:szCs w:val="22"/>
        </w:rPr>
        <w:t xml:space="preserve">ai sensi dell’art. 13 del 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del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Regolamento europeo n. 679/2016, è tenuto a fornirle </w:t>
      </w:r>
      <w:r w:rsidRPr="004B071F">
        <w:rPr>
          <w:sz w:val="22"/>
          <w:szCs w:val="22"/>
        </w:rPr>
        <w:t>le seguenti informazioni sul trattamento dei Suoi dati personali</w:t>
      </w:r>
      <w:r w:rsidRPr="004B071F">
        <w:rPr>
          <w:sz w:val="22"/>
          <w:szCs w:val="22"/>
        </w:rPr>
        <w:t>.</w:t>
      </w:r>
    </w:p>
    <w:p w14:paraId="7701390A" w14:textId="77777777" w:rsidR="009A226B" w:rsidRPr="004B071F" w:rsidRDefault="009A226B" w:rsidP="004B071F">
      <w:pPr>
        <w:jc w:val="both"/>
        <w:rPr>
          <w:sz w:val="22"/>
          <w:szCs w:val="22"/>
        </w:rPr>
      </w:pPr>
    </w:p>
    <w:p w14:paraId="04F619B7" w14:textId="1A6EBC0C" w:rsidR="009A226B" w:rsidRPr="004B071F" w:rsidRDefault="009A226B" w:rsidP="004B071F">
      <w:pPr>
        <w:jc w:val="both"/>
        <w:rPr>
          <w:b/>
          <w:sz w:val="22"/>
          <w:szCs w:val="22"/>
        </w:rPr>
      </w:pPr>
      <w:r w:rsidRPr="004B071F">
        <w:rPr>
          <w:b/>
          <w:sz w:val="22"/>
          <w:szCs w:val="22"/>
        </w:rPr>
        <w:t>1. T</w:t>
      </w:r>
      <w:r w:rsidR="004B071F">
        <w:rPr>
          <w:b/>
          <w:sz w:val="22"/>
          <w:szCs w:val="22"/>
        </w:rPr>
        <w:t>itolare del trattamento</w:t>
      </w:r>
    </w:p>
    <w:p w14:paraId="7045364D" w14:textId="6A414ED4" w:rsidR="009A226B" w:rsidRPr="004B071F" w:rsidRDefault="009A226B" w:rsidP="004B071F">
      <w:pPr>
        <w:jc w:val="both"/>
        <w:rPr>
          <w:sz w:val="22"/>
          <w:szCs w:val="22"/>
        </w:rPr>
      </w:pPr>
      <w:r w:rsidRPr="004B071F">
        <w:rPr>
          <w:sz w:val="22"/>
          <w:szCs w:val="22"/>
        </w:rPr>
        <w:t xml:space="preserve">Titolare del trattamento è il CPIA </w:t>
      </w:r>
      <w:r w:rsidRPr="004B071F">
        <w:rPr>
          <w:sz w:val="22"/>
          <w:szCs w:val="22"/>
        </w:rPr>
        <w:t xml:space="preserve">2 </w:t>
      </w:r>
      <w:r w:rsidRPr="004B071F">
        <w:rPr>
          <w:sz w:val="22"/>
          <w:szCs w:val="22"/>
        </w:rPr>
        <w:t xml:space="preserve">metropolitano di Bologna con sede in Viale Vicini 19 – 20122 – Bologna (BO) </w:t>
      </w:r>
      <w:proofErr w:type="spellStart"/>
      <w:r w:rsidRPr="004B071F">
        <w:rPr>
          <w:sz w:val="22"/>
          <w:szCs w:val="22"/>
        </w:rPr>
        <w:t>tel</w:t>
      </w:r>
      <w:proofErr w:type="spellEnd"/>
      <w:r w:rsidRPr="004B071F">
        <w:rPr>
          <w:sz w:val="22"/>
          <w:szCs w:val="22"/>
        </w:rPr>
        <w:t>: 051</w:t>
      </w:r>
      <w:r w:rsidRPr="004B071F">
        <w:rPr>
          <w:sz w:val="22"/>
          <w:szCs w:val="22"/>
        </w:rPr>
        <w:t xml:space="preserve"> 2170000</w:t>
      </w:r>
      <w:r w:rsidRPr="004B071F">
        <w:rPr>
          <w:sz w:val="22"/>
          <w:szCs w:val="22"/>
        </w:rPr>
        <w:t xml:space="preserve">, email: </w:t>
      </w:r>
      <w:hyperlink r:id="rId8" w:history="1">
        <w:r w:rsidRPr="004B071F">
          <w:rPr>
            <w:rStyle w:val="Collegamentoipertestuale"/>
            <w:sz w:val="22"/>
            <w:szCs w:val="22"/>
          </w:rPr>
          <w:t>bomm36300d@istruzione.it</w:t>
        </w:r>
      </w:hyperlink>
      <w:r w:rsidRPr="004B071F">
        <w:rPr>
          <w:sz w:val="22"/>
          <w:szCs w:val="22"/>
        </w:rPr>
        <w:t xml:space="preserve"> – </w:t>
      </w:r>
      <w:proofErr w:type="spellStart"/>
      <w:r w:rsidRPr="004B071F">
        <w:rPr>
          <w:sz w:val="22"/>
          <w:szCs w:val="22"/>
        </w:rPr>
        <w:t>pec</w:t>
      </w:r>
      <w:proofErr w:type="spellEnd"/>
      <w:r w:rsidRPr="004B071F">
        <w:rPr>
          <w:sz w:val="22"/>
          <w:szCs w:val="22"/>
        </w:rPr>
        <w:t xml:space="preserve">: </w:t>
      </w:r>
      <w:hyperlink r:id="rId9" w:history="1">
        <w:r w:rsidRPr="004B071F">
          <w:rPr>
            <w:rStyle w:val="Collegamentoipertestuale"/>
            <w:sz w:val="22"/>
            <w:szCs w:val="22"/>
          </w:rPr>
          <w:t>bomm36300d@pec.istruzione.it</w:t>
        </w:r>
      </w:hyperlink>
    </w:p>
    <w:p w14:paraId="3619CA21" w14:textId="166C169A" w:rsidR="009A226B" w:rsidRPr="004B071F" w:rsidRDefault="009A226B" w:rsidP="004B071F">
      <w:pPr>
        <w:jc w:val="both"/>
        <w:rPr>
          <w:sz w:val="22"/>
          <w:szCs w:val="22"/>
        </w:rPr>
      </w:pPr>
    </w:p>
    <w:p w14:paraId="4BABD7C7" w14:textId="667A057D" w:rsidR="009A226B" w:rsidRPr="004B071F" w:rsidRDefault="009A226B" w:rsidP="004B071F">
      <w:pPr>
        <w:jc w:val="both"/>
        <w:rPr>
          <w:sz w:val="22"/>
          <w:szCs w:val="22"/>
        </w:rPr>
      </w:pPr>
    </w:p>
    <w:p w14:paraId="075E7640" w14:textId="2989FDB3" w:rsidR="009A226B" w:rsidRPr="004B071F" w:rsidRDefault="009A226B" w:rsidP="004B071F">
      <w:pPr>
        <w:jc w:val="both"/>
        <w:rPr>
          <w:b/>
          <w:sz w:val="22"/>
          <w:szCs w:val="22"/>
        </w:rPr>
      </w:pPr>
      <w:r w:rsidRPr="004B071F">
        <w:rPr>
          <w:b/>
          <w:sz w:val="22"/>
          <w:szCs w:val="22"/>
        </w:rPr>
        <w:t xml:space="preserve">2. Data </w:t>
      </w:r>
      <w:proofErr w:type="spellStart"/>
      <w:r w:rsidRPr="004B071F">
        <w:rPr>
          <w:b/>
          <w:sz w:val="22"/>
          <w:szCs w:val="22"/>
        </w:rPr>
        <w:t>Protection</w:t>
      </w:r>
      <w:proofErr w:type="spellEnd"/>
      <w:r w:rsidRPr="004B071F">
        <w:rPr>
          <w:b/>
          <w:sz w:val="22"/>
          <w:szCs w:val="22"/>
        </w:rPr>
        <w:t xml:space="preserve"> </w:t>
      </w:r>
      <w:proofErr w:type="spellStart"/>
      <w:r w:rsidRPr="004B071F">
        <w:rPr>
          <w:b/>
          <w:sz w:val="22"/>
          <w:szCs w:val="22"/>
        </w:rPr>
        <w:t>Officer</w:t>
      </w:r>
      <w:proofErr w:type="spellEnd"/>
      <w:r w:rsidRPr="004B071F">
        <w:rPr>
          <w:b/>
          <w:sz w:val="22"/>
          <w:szCs w:val="22"/>
        </w:rPr>
        <w:t xml:space="preserve"> (DPO)</w:t>
      </w:r>
    </w:p>
    <w:p w14:paraId="72316A84" w14:textId="3EB0FAA6" w:rsidR="009A226B" w:rsidRPr="004B071F" w:rsidRDefault="009A226B" w:rsidP="004B071F">
      <w:pPr>
        <w:pStyle w:val="NormaleWeb"/>
        <w:shd w:val="clear" w:color="auto" w:fill="FFFFFF"/>
        <w:spacing w:before="0" w:beforeAutospacing="0" w:after="300" w:afterAutospacing="0"/>
        <w:jc w:val="both"/>
        <w:rPr>
          <w:rFonts w:asciiTheme="minorHAnsi" w:eastAsia="Times New Roman" w:hAnsiTheme="minorHAnsi"/>
          <w:sz w:val="22"/>
          <w:szCs w:val="22"/>
        </w:rPr>
      </w:pPr>
      <w:r w:rsidRPr="004B071F">
        <w:rPr>
          <w:rFonts w:asciiTheme="minorHAnsi" w:eastAsia="Times New Roman" w:hAnsiTheme="minorHAnsi"/>
          <w:sz w:val="22"/>
          <w:szCs w:val="22"/>
        </w:rPr>
        <w:t xml:space="preserve">Il DPO è il dott. </w:t>
      </w:r>
      <w:r w:rsidRPr="009A226B">
        <w:rPr>
          <w:rFonts w:asciiTheme="minorHAnsi" w:eastAsia="Times New Roman" w:hAnsiTheme="minorHAnsi"/>
          <w:sz w:val="22"/>
          <w:szCs w:val="22"/>
        </w:rPr>
        <w:t>Mario Padroni</w:t>
      </w:r>
      <w:r w:rsidR="004B071F" w:rsidRPr="004B071F">
        <w:rPr>
          <w:rFonts w:asciiTheme="minorHAnsi" w:eastAsia="Times New Roman" w:hAnsiTheme="minorHAnsi"/>
          <w:sz w:val="22"/>
          <w:szCs w:val="22"/>
        </w:rPr>
        <w:t xml:space="preserve">. </w:t>
      </w:r>
      <w:r w:rsidRPr="009A226B">
        <w:rPr>
          <w:rFonts w:asciiTheme="minorHAnsi" w:eastAsia="Times New Roman" w:hAnsiTheme="minorHAnsi"/>
          <w:sz w:val="22"/>
          <w:szCs w:val="22"/>
        </w:rPr>
        <w:t>Denominazione: S&amp;L Salute e Sicurezza nei luoghi di lavoro S.r.l.</w:t>
      </w:r>
      <w:r w:rsidR="004B071F" w:rsidRPr="004B071F">
        <w:rPr>
          <w:rFonts w:asciiTheme="minorHAnsi" w:eastAsia="Times New Roman" w:hAnsiTheme="minorHAnsi"/>
          <w:sz w:val="22"/>
          <w:szCs w:val="22"/>
        </w:rPr>
        <w:t xml:space="preserve"> con sede in </w:t>
      </w:r>
      <w:r w:rsidRPr="009A226B">
        <w:rPr>
          <w:rFonts w:asciiTheme="minorHAnsi" w:eastAsia="Times New Roman" w:hAnsiTheme="minorHAnsi"/>
          <w:sz w:val="22"/>
          <w:szCs w:val="22"/>
        </w:rPr>
        <w:t>Via G. Bovini, 41 – 48123 Ravenna (RA)</w:t>
      </w:r>
      <w:r w:rsidR="004B071F" w:rsidRPr="004B071F">
        <w:rPr>
          <w:rFonts w:asciiTheme="minorHAnsi" w:eastAsia="Times New Roman" w:hAnsiTheme="minorHAnsi"/>
          <w:sz w:val="22"/>
          <w:szCs w:val="22"/>
        </w:rPr>
        <w:t xml:space="preserve"> - </w:t>
      </w:r>
      <w:r w:rsidRPr="009A226B">
        <w:rPr>
          <w:rFonts w:asciiTheme="minorHAnsi" w:eastAsia="Times New Roman" w:hAnsiTheme="minorHAnsi"/>
          <w:sz w:val="22"/>
          <w:szCs w:val="22"/>
        </w:rPr>
        <w:t>Telefono: 0544 465497</w:t>
      </w:r>
      <w:r w:rsidR="004B071F" w:rsidRPr="004B071F">
        <w:rPr>
          <w:rFonts w:asciiTheme="minorHAnsi" w:eastAsia="Times New Roman" w:hAnsiTheme="minorHAnsi"/>
          <w:sz w:val="22"/>
          <w:szCs w:val="22"/>
        </w:rPr>
        <w:t xml:space="preserve"> - </w:t>
      </w:r>
      <w:r w:rsidRPr="009A226B">
        <w:rPr>
          <w:rFonts w:asciiTheme="minorHAnsi" w:eastAsia="Times New Roman" w:hAnsiTheme="minorHAnsi"/>
          <w:sz w:val="22"/>
          <w:szCs w:val="22"/>
        </w:rPr>
        <w:t xml:space="preserve">Email: </w:t>
      </w:r>
      <w:hyperlink r:id="rId10" w:history="1">
        <w:r w:rsidR="004B071F" w:rsidRPr="004B071F">
          <w:rPr>
            <w:rStyle w:val="Collegamentoipertestuale"/>
            <w:rFonts w:asciiTheme="minorHAnsi" w:eastAsia="Times New Roman" w:hAnsiTheme="minorHAnsi"/>
            <w:color w:val="auto"/>
            <w:sz w:val="22"/>
            <w:szCs w:val="22"/>
          </w:rPr>
          <w:t>info@sicurezzaoggi.com</w:t>
        </w:r>
      </w:hyperlink>
      <w:r w:rsidR="004B071F" w:rsidRPr="004B071F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Pr="009A226B">
        <w:rPr>
          <w:rFonts w:asciiTheme="minorHAnsi" w:eastAsia="Times New Roman" w:hAnsiTheme="minorHAnsi"/>
          <w:sz w:val="22"/>
          <w:szCs w:val="22"/>
        </w:rPr>
        <w:t>Pec</w:t>
      </w:r>
      <w:proofErr w:type="spellEnd"/>
      <w:r w:rsidRPr="009A226B">
        <w:rPr>
          <w:rFonts w:asciiTheme="minorHAnsi" w:eastAsia="Times New Roman" w:hAnsiTheme="minorHAnsi"/>
          <w:sz w:val="22"/>
          <w:szCs w:val="22"/>
        </w:rPr>
        <w:t>: certi@pec.sicurezzaoggi.com</w:t>
      </w:r>
    </w:p>
    <w:p w14:paraId="243AE5C2" w14:textId="74D3C158" w:rsidR="004B071F" w:rsidRP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>3. Responsabili del trattamento</w:t>
      </w:r>
    </w:p>
    <w:p w14:paraId="658BA772" w14:textId="1E37AD2F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58FBB957" w14:textId="77777777" w:rsidR="00E260A3" w:rsidRPr="004B071F" w:rsidRDefault="00E260A3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CE0B860" w14:textId="77777777" w:rsidR="004B071F" w:rsidRP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4. Soggetti autorizzati al trattamento. </w:t>
      </w:r>
    </w:p>
    <w:p w14:paraId="588ED12D" w14:textId="43F3CD01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B0C82A4" w14:textId="77777777" w:rsidR="004B071F" w:rsidRP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D3D2B35" w14:textId="57B23D89" w:rsid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>5. Finalità e base giuridica del trattamento</w:t>
      </w:r>
    </w:p>
    <w:p w14:paraId="61855EBF" w14:textId="77777777" w:rsidR="004B071F" w:rsidRPr="004B071F" w:rsidRDefault="004B071F" w:rsidP="004B071F">
      <w:pPr>
        <w:spacing w:before="120"/>
        <w:jc w:val="both"/>
        <w:rPr>
          <w:sz w:val="22"/>
          <w:szCs w:val="22"/>
        </w:rPr>
      </w:pPr>
      <w:r w:rsidRPr="004B071F">
        <w:rPr>
          <w:sz w:val="22"/>
          <w:szCs w:val="22"/>
        </w:rPr>
        <w:t xml:space="preserve">La partecipazione all'avviso implica l'accettazione di tutte le norme previste dal medesimo. Ai sensi dell'art. 13 del Regolamento europeo n. 679/2016 i dati personali, forniti nelle proposte progettuali, siano essi acquisiti via posta elettronica o con altre modalità, saranno raccolti e utilizzati dal CPIA 2 metropolitano di Bologna unicamente per le finalità del presente avviso e nel rispetto delle norme di legge. I dati personali non sono oggetto di comunicazione o diffusione. </w:t>
      </w:r>
    </w:p>
    <w:p w14:paraId="5490A12C" w14:textId="77777777" w:rsidR="004B071F" w:rsidRPr="004B071F" w:rsidRDefault="004B071F" w:rsidP="004B071F">
      <w:pPr>
        <w:spacing w:before="120"/>
        <w:jc w:val="both"/>
        <w:rPr>
          <w:sz w:val="22"/>
          <w:szCs w:val="22"/>
        </w:rPr>
      </w:pPr>
      <w:r w:rsidRPr="004B071F">
        <w:rPr>
          <w:sz w:val="22"/>
          <w:szCs w:val="22"/>
        </w:rPr>
        <w:t xml:space="preserve">Per tali finalità l’acquisizione dei dati è necessaria. Il loro mancato conferimento comporterà l’esclusione dalla procedura di cui al presente Avviso. </w:t>
      </w:r>
    </w:p>
    <w:p w14:paraId="4B840261" w14:textId="77777777" w:rsidR="004B071F" w:rsidRPr="004B071F" w:rsidRDefault="004B071F" w:rsidP="004B071F">
      <w:pPr>
        <w:spacing w:before="120"/>
        <w:jc w:val="both"/>
        <w:rPr>
          <w:sz w:val="22"/>
          <w:szCs w:val="22"/>
        </w:rPr>
      </w:pPr>
      <w:r w:rsidRPr="004B071F">
        <w:rPr>
          <w:sz w:val="22"/>
          <w:szCs w:val="22"/>
        </w:rPr>
        <w:t xml:space="preserve">I dati stessi non saranno in alcun modo oggetto di diffusione. Essi potranno essere comunicati unicamente ai soggetti pubblici e privati coinvolti nello specifico procedimento, nei casi e per le finalità previste da leggi, regolamenti, normativa comunitaria o Contratti collettivi nazionali di lavoro, al fine di garantire la gestione di tutte le fasi del procedimento stesso. I dati saranno trattati mediante strumenti cartacei, informatici, telematici e telefonici. </w:t>
      </w:r>
    </w:p>
    <w:p w14:paraId="2897486F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Ai sensi dell’art. 4 del Regolamento (UE) n.2021/1060, gli Stati membri e la Commissione sono autorizzati a trattare i dati personali solo se necessario al fine di adempiere i rispettivi obblighi a norma del presente regolamento, in particolare per quanto riguarda la sorveglianza, la rendicontazione, la comunicazione, la pubblicazione, la valutazione, la gestione finanziaria, le verifiche e gli audit e, se del caso, per determinare l’idoneità dei partecipanti. I dati personali sono trattati in conformità del regolamento (UE) 2016/679 o del regolamento (UE) 2018/1725 del Parlamento europeo e del Consiglio, a seconda dei casi.</w:t>
      </w:r>
    </w:p>
    <w:p w14:paraId="195D90BF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E5BBA38" w14:textId="4C023391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lastRenderedPageBreak/>
        <w:t>Alcuni dei dati personali da Lei comunicati a</w:t>
      </w:r>
      <w:r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l CPIA 2 metropolitano di Bologna</w:t>
      </w: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, ai sensi dell’art. 27 del 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D.Lgs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33/2013, sono soggetti alla pubblicità sul sito istituzionale dell’Ente. Si informa, inoltre, che nell’ambito delle funzioni previste dall’art. 72 e seguenti del Regolamento (UE) n. 2021/1060, l’Autorità di Gestione del FAMI, in continuità con le previsioni della programmazione 2014-2020, si avvale di 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Arachne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, uno strumento informatico di valutazione del rischio sviluppato dalla Commissione Europea e messo a disposizione degli Stati Membri. Lo strumento funziona attraverso l’elaborazione di dati interni ed esterni al programma: i dati interni sono costituiti dalle informazioni caricate dall’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AdG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sul sistema di monitoraggio, i dati esterni sono forniti da due banche dati che contengono informazioni pubbliche relative a: dati finanziari, relazioni societarie, elenchi di eventuali attività illecite e sanzioni collegate a persone o imprese coinvolte nei finanziamenti del FAMI, elenchi di persone politicamente esposte. Il trattamento dei dati di 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Arachne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 sarà svolto nel rispetto della normativa nazionale e comunitaria in materia di protezione dei dati ed esclusivamente al fine di individuare i rischi di frode e le irregolarità a livello di beneficiari, contraenti, contratti e progetti, sia al momento dell’approvazione del progetto sia nella fase di attuazione dello stesso. Le elaborazioni fornite dal sistema </w:t>
      </w:r>
      <w:proofErr w:type="spellStart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>Arachne</w:t>
      </w:r>
      <w:proofErr w:type="spellEnd"/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, finalizzate al calcolo del rischio, saranno soggette ai vincoli di protezione dei dati e non saranno pubblicate né dall’Autorità di Gestione né dai Servizi della Commissione Europea. </w:t>
      </w:r>
    </w:p>
    <w:p w14:paraId="0B813046" w14:textId="77777777" w:rsidR="00E260A3" w:rsidRDefault="00E260A3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1CE371EC" w14:textId="77777777" w:rsidR="004B071F" w:rsidRP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7. Trasferimento dei dati personali a Paesi extra UE. </w:t>
      </w:r>
    </w:p>
    <w:p w14:paraId="07B57C69" w14:textId="7625A4CC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I suoi dati personali non sono trasferiti al di fuori dell’Unione europea. </w:t>
      </w:r>
    </w:p>
    <w:p w14:paraId="1D302F3B" w14:textId="77777777" w:rsidR="00E260A3" w:rsidRDefault="00E260A3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CBDC042" w14:textId="77777777" w:rsidR="004B071F" w:rsidRP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8. Periodo di conservazione. </w:t>
      </w:r>
    </w:p>
    <w:p w14:paraId="5B8BBD56" w14:textId="5C90AD7E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355CAA6B" w14:textId="77777777" w:rsidR="00E260A3" w:rsidRDefault="00E260A3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bookmarkStart w:id="0" w:name="_GoBack"/>
      <w:bookmarkEnd w:id="0"/>
    </w:p>
    <w:p w14:paraId="5583F09C" w14:textId="77777777" w:rsidR="004B071F" w:rsidRPr="004B071F" w:rsidRDefault="004B071F" w:rsidP="004B071F">
      <w:pPr>
        <w:jc w:val="both"/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9. I suoi diritti </w:t>
      </w:r>
    </w:p>
    <w:p w14:paraId="7387C273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Nella sua qualità di interessato, Lei ha diritto: </w:t>
      </w:r>
    </w:p>
    <w:p w14:paraId="1F70B38E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− di accesso ai dati personali; </w:t>
      </w:r>
    </w:p>
    <w:p w14:paraId="735285B6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− di ottenere la rettifica o la cancellazione degli stessi o la limitazione del trattamento che lo riguardano; </w:t>
      </w:r>
    </w:p>
    <w:p w14:paraId="2753485E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− di opporsi al trattamento; </w:t>
      </w:r>
    </w:p>
    <w:p w14:paraId="03DC664F" w14:textId="77777777" w:rsidR="004B071F" w:rsidRDefault="004B071F" w:rsidP="004B071F">
      <w:pPr>
        <w:jc w:val="both"/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</w:pPr>
      <w:r w:rsidRPr="004B071F">
        <w:rPr>
          <w:rFonts w:eastAsia="Times New Roman" w:cs="Times New Roman"/>
          <w:kern w:val="0"/>
          <w:sz w:val="22"/>
          <w:szCs w:val="22"/>
          <w:lang w:eastAsia="it-IT"/>
          <w14:ligatures w14:val="none"/>
        </w:rPr>
        <w:t xml:space="preserve">− di proporre reclamo al Garante per la protezione dei dati personali </w:t>
      </w:r>
    </w:p>
    <w:p w14:paraId="5F6D0D46" w14:textId="75A31D9A" w:rsidR="009A226B" w:rsidRPr="004B071F" w:rsidRDefault="009A226B" w:rsidP="004B071F">
      <w:pPr>
        <w:jc w:val="both"/>
        <w:rPr>
          <w:sz w:val="22"/>
          <w:szCs w:val="22"/>
        </w:rPr>
      </w:pPr>
    </w:p>
    <w:p w14:paraId="0DB3A1B9" w14:textId="77777777" w:rsidR="009A226B" w:rsidRPr="004B071F" w:rsidRDefault="009A226B" w:rsidP="004B071F">
      <w:pPr>
        <w:jc w:val="both"/>
        <w:rPr>
          <w:sz w:val="22"/>
          <w:szCs w:val="22"/>
        </w:rPr>
      </w:pPr>
    </w:p>
    <w:p w14:paraId="21EF105E" w14:textId="5F1D076A" w:rsidR="00257200" w:rsidRPr="004B071F" w:rsidRDefault="00257200" w:rsidP="004B071F">
      <w:pPr>
        <w:spacing w:before="120"/>
        <w:jc w:val="both"/>
        <w:rPr>
          <w:sz w:val="22"/>
          <w:szCs w:val="22"/>
        </w:rPr>
      </w:pPr>
    </w:p>
    <w:sectPr w:rsidR="00257200" w:rsidRPr="004B07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343D" w14:textId="77777777" w:rsidR="002854C3" w:rsidRDefault="002854C3" w:rsidP="003D23C4">
      <w:r>
        <w:separator/>
      </w:r>
    </w:p>
  </w:endnote>
  <w:endnote w:type="continuationSeparator" w:id="0">
    <w:p w14:paraId="2CA4F2EA" w14:textId="77777777" w:rsidR="002854C3" w:rsidRDefault="002854C3" w:rsidP="003D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2414" w14:textId="77777777" w:rsidR="00706072" w:rsidRDefault="007060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C1ED5" w14:textId="77777777" w:rsidR="00706072" w:rsidRDefault="00706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C032" w14:textId="77777777" w:rsidR="00706072" w:rsidRDefault="00706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661E9" w14:textId="77777777" w:rsidR="002854C3" w:rsidRDefault="002854C3" w:rsidP="003D23C4">
      <w:r>
        <w:separator/>
      </w:r>
    </w:p>
  </w:footnote>
  <w:footnote w:type="continuationSeparator" w:id="0">
    <w:p w14:paraId="44E88BAE" w14:textId="77777777" w:rsidR="002854C3" w:rsidRDefault="002854C3" w:rsidP="003D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E35ED" w14:textId="77777777" w:rsidR="00706072" w:rsidRDefault="007060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A612" w14:textId="32CD06D7" w:rsidR="00706072" w:rsidRDefault="007060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35DD" w14:textId="77777777" w:rsidR="00706072" w:rsidRDefault="007060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1452528C"/>
    <w:multiLevelType w:val="multilevel"/>
    <w:tmpl w:val="35F0A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753441"/>
    <w:multiLevelType w:val="hybridMultilevel"/>
    <w:tmpl w:val="B4465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E132C"/>
    <w:multiLevelType w:val="hybridMultilevel"/>
    <w:tmpl w:val="447A6260"/>
    <w:lvl w:ilvl="0" w:tplc="8D5CAA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512C8"/>
    <w:multiLevelType w:val="hybridMultilevel"/>
    <w:tmpl w:val="269A657E"/>
    <w:lvl w:ilvl="0" w:tplc="26FAB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50EB4"/>
    <w:multiLevelType w:val="hybridMultilevel"/>
    <w:tmpl w:val="9042D598"/>
    <w:lvl w:ilvl="0" w:tplc="7B5E627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35E4"/>
    <w:multiLevelType w:val="multilevel"/>
    <w:tmpl w:val="30406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9124540"/>
    <w:multiLevelType w:val="hybridMultilevel"/>
    <w:tmpl w:val="E35CE8B8"/>
    <w:lvl w:ilvl="0" w:tplc="FE103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E6278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160B6"/>
    <w:multiLevelType w:val="hybridMultilevel"/>
    <w:tmpl w:val="F28C7A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039D6"/>
    <w:multiLevelType w:val="hybridMultilevel"/>
    <w:tmpl w:val="77D2458C"/>
    <w:lvl w:ilvl="0" w:tplc="FE103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3806"/>
    <w:multiLevelType w:val="hybridMultilevel"/>
    <w:tmpl w:val="062AD32E"/>
    <w:lvl w:ilvl="0" w:tplc="B5609066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5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B3"/>
    <w:rsid w:val="00030EA7"/>
    <w:rsid w:val="0003211F"/>
    <w:rsid w:val="0003413E"/>
    <w:rsid w:val="000430B3"/>
    <w:rsid w:val="00043A64"/>
    <w:rsid w:val="00050B2B"/>
    <w:rsid w:val="000744A6"/>
    <w:rsid w:val="000C2F90"/>
    <w:rsid w:val="000C78EE"/>
    <w:rsid w:val="000E5626"/>
    <w:rsid w:val="000E597A"/>
    <w:rsid w:val="000F2C87"/>
    <w:rsid w:val="001003B3"/>
    <w:rsid w:val="00100A54"/>
    <w:rsid w:val="0013016A"/>
    <w:rsid w:val="00132464"/>
    <w:rsid w:val="00155AEC"/>
    <w:rsid w:val="0016723A"/>
    <w:rsid w:val="00176D9C"/>
    <w:rsid w:val="00194C84"/>
    <w:rsid w:val="00195322"/>
    <w:rsid w:val="00197F03"/>
    <w:rsid w:val="001A43A5"/>
    <w:rsid w:val="001C2A29"/>
    <w:rsid w:val="001C3606"/>
    <w:rsid w:val="001D01CC"/>
    <w:rsid w:val="001E2BB7"/>
    <w:rsid w:val="001F1319"/>
    <w:rsid w:val="001F16A9"/>
    <w:rsid w:val="001F2C13"/>
    <w:rsid w:val="001F5DBB"/>
    <w:rsid w:val="00211B11"/>
    <w:rsid w:val="00223071"/>
    <w:rsid w:val="00235353"/>
    <w:rsid w:val="00243238"/>
    <w:rsid w:val="00251949"/>
    <w:rsid w:val="00252BC5"/>
    <w:rsid w:val="00257200"/>
    <w:rsid w:val="00272BCE"/>
    <w:rsid w:val="00276A1C"/>
    <w:rsid w:val="00281594"/>
    <w:rsid w:val="002854C3"/>
    <w:rsid w:val="002A6A2A"/>
    <w:rsid w:val="002F05F2"/>
    <w:rsid w:val="002F1C3C"/>
    <w:rsid w:val="002F4B21"/>
    <w:rsid w:val="003177B8"/>
    <w:rsid w:val="003304D1"/>
    <w:rsid w:val="003310B5"/>
    <w:rsid w:val="00357733"/>
    <w:rsid w:val="00362DA0"/>
    <w:rsid w:val="00367E1D"/>
    <w:rsid w:val="00396B8E"/>
    <w:rsid w:val="003D23C4"/>
    <w:rsid w:val="003D6F14"/>
    <w:rsid w:val="003E4AA2"/>
    <w:rsid w:val="003F3013"/>
    <w:rsid w:val="003F7B10"/>
    <w:rsid w:val="004313D5"/>
    <w:rsid w:val="00433D8D"/>
    <w:rsid w:val="004448AE"/>
    <w:rsid w:val="00453E95"/>
    <w:rsid w:val="004B071F"/>
    <w:rsid w:val="004C39EB"/>
    <w:rsid w:val="004E1CC9"/>
    <w:rsid w:val="005266D0"/>
    <w:rsid w:val="00532E01"/>
    <w:rsid w:val="00592E3D"/>
    <w:rsid w:val="005930BB"/>
    <w:rsid w:val="005B2DF4"/>
    <w:rsid w:val="005C04EE"/>
    <w:rsid w:val="005E654C"/>
    <w:rsid w:val="006022C8"/>
    <w:rsid w:val="00605AD7"/>
    <w:rsid w:val="006128FD"/>
    <w:rsid w:val="006139A6"/>
    <w:rsid w:val="006175B4"/>
    <w:rsid w:val="0062241A"/>
    <w:rsid w:val="006369CD"/>
    <w:rsid w:val="00636BE7"/>
    <w:rsid w:val="006727EC"/>
    <w:rsid w:val="00695149"/>
    <w:rsid w:val="006A3419"/>
    <w:rsid w:val="006B0664"/>
    <w:rsid w:val="006B4F8B"/>
    <w:rsid w:val="006B5523"/>
    <w:rsid w:val="00706072"/>
    <w:rsid w:val="007271B3"/>
    <w:rsid w:val="00762336"/>
    <w:rsid w:val="007A0218"/>
    <w:rsid w:val="007C58A6"/>
    <w:rsid w:val="007D0107"/>
    <w:rsid w:val="0083297C"/>
    <w:rsid w:val="00835F85"/>
    <w:rsid w:val="00844517"/>
    <w:rsid w:val="00855F4A"/>
    <w:rsid w:val="008662BC"/>
    <w:rsid w:val="008831C8"/>
    <w:rsid w:val="008877BB"/>
    <w:rsid w:val="008A7A1B"/>
    <w:rsid w:val="008D5272"/>
    <w:rsid w:val="008D6ED2"/>
    <w:rsid w:val="008E5B0C"/>
    <w:rsid w:val="00912A54"/>
    <w:rsid w:val="00947A88"/>
    <w:rsid w:val="00970575"/>
    <w:rsid w:val="0099720B"/>
    <w:rsid w:val="009A226B"/>
    <w:rsid w:val="009A43F5"/>
    <w:rsid w:val="009B01EF"/>
    <w:rsid w:val="009B18FF"/>
    <w:rsid w:val="009B3FFD"/>
    <w:rsid w:val="009D0886"/>
    <w:rsid w:val="009E1159"/>
    <w:rsid w:val="00A12245"/>
    <w:rsid w:val="00A37DA7"/>
    <w:rsid w:val="00A37E34"/>
    <w:rsid w:val="00A559BE"/>
    <w:rsid w:val="00A85F74"/>
    <w:rsid w:val="00AE5537"/>
    <w:rsid w:val="00AF6266"/>
    <w:rsid w:val="00AF7EA9"/>
    <w:rsid w:val="00B014C7"/>
    <w:rsid w:val="00B424B1"/>
    <w:rsid w:val="00B50DAE"/>
    <w:rsid w:val="00B62C71"/>
    <w:rsid w:val="00B724BE"/>
    <w:rsid w:val="00B761BE"/>
    <w:rsid w:val="00BC260B"/>
    <w:rsid w:val="00BF7F5B"/>
    <w:rsid w:val="00C0436C"/>
    <w:rsid w:val="00C173D9"/>
    <w:rsid w:val="00C57E83"/>
    <w:rsid w:val="00C652C7"/>
    <w:rsid w:val="00C90BAC"/>
    <w:rsid w:val="00CA7453"/>
    <w:rsid w:val="00CD2313"/>
    <w:rsid w:val="00D160A4"/>
    <w:rsid w:val="00D31F2E"/>
    <w:rsid w:val="00D34DBB"/>
    <w:rsid w:val="00D453B0"/>
    <w:rsid w:val="00D615B4"/>
    <w:rsid w:val="00D6487F"/>
    <w:rsid w:val="00DA20A4"/>
    <w:rsid w:val="00DB24BD"/>
    <w:rsid w:val="00DB44FD"/>
    <w:rsid w:val="00DC4121"/>
    <w:rsid w:val="00DD7256"/>
    <w:rsid w:val="00DF5C76"/>
    <w:rsid w:val="00E10E84"/>
    <w:rsid w:val="00E112DF"/>
    <w:rsid w:val="00E12B44"/>
    <w:rsid w:val="00E24E28"/>
    <w:rsid w:val="00E260A3"/>
    <w:rsid w:val="00E26C69"/>
    <w:rsid w:val="00E31BC1"/>
    <w:rsid w:val="00E7415E"/>
    <w:rsid w:val="00E8152A"/>
    <w:rsid w:val="00EA3B90"/>
    <w:rsid w:val="00EB1131"/>
    <w:rsid w:val="00EC6A03"/>
    <w:rsid w:val="00EC751B"/>
    <w:rsid w:val="00ED1D05"/>
    <w:rsid w:val="00ED45EC"/>
    <w:rsid w:val="00ED7386"/>
    <w:rsid w:val="00EF53F2"/>
    <w:rsid w:val="00F20B92"/>
    <w:rsid w:val="00F21C93"/>
    <w:rsid w:val="00F255EE"/>
    <w:rsid w:val="00F32AB3"/>
    <w:rsid w:val="00F338A7"/>
    <w:rsid w:val="00F41708"/>
    <w:rsid w:val="00F575D7"/>
    <w:rsid w:val="00F94796"/>
    <w:rsid w:val="00FB77D8"/>
    <w:rsid w:val="00FC1411"/>
    <w:rsid w:val="00FD09FE"/>
    <w:rsid w:val="00FD5B54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8C4C"/>
  <w15:chartTrackingRefBased/>
  <w15:docId w15:val="{9E51A70C-0F27-A945-A963-51061DD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2F1C3C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lang w:eastAsia="hi-IN" w:bidi="hi-IN"/>
      <w14:ligatures w14:val="none"/>
    </w:rPr>
  </w:style>
  <w:style w:type="paragraph" w:styleId="Corpotesto">
    <w:name w:val="Body Text"/>
    <w:basedOn w:val="Normale"/>
    <w:link w:val="CorpotestoCarattere"/>
    <w:rsid w:val="002F1C3C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F1C3C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F1C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C3C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855F4A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175B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2F90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0C2F90"/>
  </w:style>
  <w:style w:type="table" w:styleId="Grigliatabella">
    <w:name w:val="Table Grid"/>
    <w:basedOn w:val="Tabellanormale"/>
    <w:uiPriority w:val="39"/>
    <w:rsid w:val="0003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23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3C4"/>
  </w:style>
  <w:style w:type="paragraph" w:styleId="Pidipagina">
    <w:name w:val="footer"/>
    <w:basedOn w:val="Normale"/>
    <w:link w:val="PidipaginaCarattere"/>
    <w:uiPriority w:val="99"/>
    <w:unhideWhenUsed/>
    <w:rsid w:val="003D23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3C4"/>
  </w:style>
  <w:style w:type="paragraph" w:styleId="Testonotaapidipagina">
    <w:name w:val="footnote text"/>
    <w:basedOn w:val="Normale"/>
    <w:link w:val="TestonotaapidipaginaCarattere"/>
    <w:semiHidden/>
    <w:unhideWhenUsed/>
    <w:rsid w:val="001003B3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03B3"/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unhideWhenUsed/>
    <w:rsid w:val="001003B3"/>
    <w:rPr>
      <w:vertAlign w:val="superscript"/>
    </w:rPr>
  </w:style>
  <w:style w:type="character" w:customStyle="1" w:styleId="Caratteredellanota">
    <w:name w:val="Carattere della nota"/>
    <w:rsid w:val="001003B3"/>
  </w:style>
  <w:style w:type="paragraph" w:styleId="NormaleWeb">
    <w:name w:val="Normal (Web)"/>
    <w:basedOn w:val="Normale"/>
    <w:uiPriority w:val="99"/>
    <w:unhideWhenUsed/>
    <w:rsid w:val="00C173D9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A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m36300d@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sicurezzaog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mm36300d@pec.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ECAC-32B3-9444-8A8B-0AD03744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BOMM36300D - CPIA 2 Bologna</dc:creator>
  <cp:keywords/>
  <dc:description/>
  <cp:lastModifiedBy>Emilio</cp:lastModifiedBy>
  <cp:revision>5</cp:revision>
  <dcterms:created xsi:type="dcterms:W3CDTF">2023-08-18T17:33:00Z</dcterms:created>
  <dcterms:modified xsi:type="dcterms:W3CDTF">2023-08-18T18:01:00Z</dcterms:modified>
</cp:coreProperties>
</file>