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B6F0" w14:textId="77777777" w:rsidR="00342936" w:rsidRPr="0045572B" w:rsidRDefault="00342936" w:rsidP="0036170F">
      <w:pPr>
        <w:spacing w:beforeLines="40" w:before="96" w:afterLines="40" w:after="96"/>
        <w:jc w:val="both"/>
        <w:rPr>
          <w:rFonts w:cs="Arial"/>
          <w:b/>
          <w:szCs w:val="20"/>
          <w:u w:val="single"/>
        </w:rPr>
      </w:pPr>
    </w:p>
    <w:p w14:paraId="722415B0" w14:textId="77777777" w:rsidR="00244348" w:rsidRPr="009F0B1B" w:rsidRDefault="00244348" w:rsidP="0036170F">
      <w:pPr>
        <w:spacing w:beforeLines="40" w:before="96" w:afterLines="40" w:after="96"/>
        <w:jc w:val="center"/>
        <w:rPr>
          <w:rFonts w:ascii="Verdana" w:hAnsi="Verdana" w:cs="Calibri"/>
        </w:rPr>
      </w:pPr>
      <w:r w:rsidRPr="009F0B1B">
        <w:rPr>
          <w:rFonts w:ascii="Verdana" w:hAnsi="Verdana" w:cs="Calibri"/>
          <w:noProof/>
          <w:lang w:eastAsia="it-IT"/>
        </w:rPr>
        <w:drawing>
          <wp:inline distT="0" distB="0" distL="0" distR="0" wp14:anchorId="159C403C" wp14:editId="2658E8BC">
            <wp:extent cx="525780" cy="525780"/>
            <wp:effectExtent l="0" t="0" r="7620" b="7620"/>
            <wp:docPr id="2" name="Immagine 2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EE8E" w14:textId="40A88EE5" w:rsidR="00232A07" w:rsidRPr="009F0B1B" w:rsidRDefault="00232A07" w:rsidP="00232A07">
      <w:pPr>
        <w:spacing w:before="60" w:after="60"/>
        <w:jc w:val="center"/>
        <w:rPr>
          <w:rFonts w:ascii="Lucida Calligraphy" w:hAnsi="Lucida Calligraphy" w:cs="Calibri"/>
          <w:szCs w:val="20"/>
        </w:rPr>
      </w:pPr>
      <w:r>
        <w:rPr>
          <w:rFonts w:ascii="Lucida Calligraphy" w:hAnsi="Lucida Calligraphy" w:cs="Calibri"/>
          <w:szCs w:val="20"/>
        </w:rPr>
        <w:t>Ministero dell'Istruzione e del Merito</w:t>
      </w:r>
    </w:p>
    <w:p w14:paraId="3D657BF3" w14:textId="77777777" w:rsidR="003A57E4" w:rsidRDefault="003A57E4" w:rsidP="003A57E4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ISTITUTO DI ISTRUZIONE SUPERIORE "VINCENZO DANDOLO"</w:t>
      </w:r>
      <w:r>
        <w:rPr>
          <w:rFonts w:ascii="Verdana" w:hAnsi="Verdana"/>
          <w:b/>
          <w:sz w:val="24"/>
        </w:rPr>
        <w:t xml:space="preserve"> </w:t>
      </w:r>
    </w:p>
    <w:p w14:paraId="7950EFD1" w14:textId="77777777" w:rsidR="003A57E4" w:rsidRDefault="003A57E4" w:rsidP="003A57E4">
      <w:pPr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PIAZZA CHIESA 2 25030 Corzano (BS)</w:t>
      </w:r>
    </w:p>
    <w:p w14:paraId="310D1D43" w14:textId="77777777" w:rsidR="003A57E4" w:rsidRDefault="003A57E4" w:rsidP="003A57E4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Cs w:val="20"/>
        </w:rPr>
        <w:t xml:space="preserve">Tel. 0309718132 Email BSIS02200A@istruzione.it </w:t>
      </w:r>
      <w:r>
        <w:rPr>
          <w:rFonts w:ascii="Verdana" w:hAnsi="Verdana"/>
          <w:szCs w:val="20"/>
        </w:rPr>
        <w:br/>
      </w:r>
      <w:r>
        <w:rPr>
          <w:rFonts w:ascii="Verdana" w:hAnsi="Verdana"/>
          <w:szCs w:val="20"/>
        </w:rPr>
        <w:t>PEC bsis02200a@pec.istruzione.it</w:t>
      </w:r>
    </w:p>
    <w:p w14:paraId="5F286263" w14:textId="77777777" w:rsidR="003A57E4" w:rsidRDefault="003A57E4" w:rsidP="003A57E4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Cs w:val="20"/>
        </w:rPr>
        <w:t>Cod. Mecc. BSIS02200A</w:t>
      </w:r>
    </w:p>
    <w:p w14:paraId="2E54CA1C" w14:textId="77777777" w:rsidR="008E4214" w:rsidRDefault="008E4214" w:rsidP="00C31BFA">
      <w:pPr>
        <w:pStyle w:val="Style2"/>
        <w:widowControl/>
        <w:spacing w:before="29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9"/>
        <w:gridCol w:w="3565"/>
        <w:gridCol w:w="3452"/>
      </w:tblGrid>
      <w:tr w:rsidR="00232A07" w:rsidRPr="009F0B1B" w14:paraId="4133C013" w14:textId="77777777" w:rsidTr="00232A07">
        <w:tc>
          <w:tcPr>
            <w:tcW w:w="1647" w:type="pct"/>
            <w:shd w:val="clear" w:color="auto" w:fill="auto"/>
          </w:tcPr>
          <w:p w14:paraId="05DA58BC" w14:textId="7E7CE02D" w:rsidR="00232A07" w:rsidRPr="006B72DE" w:rsidRDefault="00125EDA" w:rsidP="002013A1">
            <w:r>
              <w:t>Corzano</w:t>
            </w:r>
            <w:r w:rsidRPr="00125EDA">
              <w:t xml:space="preserve">, </w:t>
            </w:r>
            <w:r>
              <w:t>27/06/2023</w:t>
            </w:r>
          </w:p>
        </w:tc>
        <w:tc>
          <w:tcPr>
            <w:tcW w:w="1703" w:type="pct"/>
            <w:shd w:val="clear" w:color="auto" w:fill="auto"/>
          </w:tcPr>
          <w:p w14:paraId="248ADF7E" w14:textId="77777777" w:rsidR="00232A07" w:rsidRPr="006B72DE" w:rsidRDefault="00232A07" w:rsidP="002B7772"/>
        </w:tc>
        <w:tc>
          <w:tcPr>
            <w:tcW w:w="1649" w:type="pct"/>
            <w:shd w:val="clear" w:color="auto" w:fill="auto"/>
          </w:tcPr>
          <w:p w14:paraId="7EACAB47" w14:textId="77777777" w:rsidR="00232A07" w:rsidRPr="006B72DE" w:rsidRDefault="00232A07" w:rsidP="002664DA">
            <w:pPr>
              <w:jc w:val="right"/>
            </w:pPr>
            <w:r w:rsidRPr="006B72DE">
              <w:t>Prot. n° _________</w:t>
            </w:r>
            <w:r>
              <w:t>/</w:t>
            </w:r>
            <w:r w:rsidRPr="006B72DE">
              <w:t>_____</w:t>
            </w:r>
          </w:p>
        </w:tc>
      </w:tr>
    </w:tbl>
    <w:p w14:paraId="795C6759" w14:textId="77777777" w:rsidR="00232A07" w:rsidRDefault="00232A07" w:rsidP="002B7772"/>
    <w:p w14:paraId="68F5C85A" w14:textId="77777777" w:rsidR="00C31BFA" w:rsidRDefault="00C31BFA" w:rsidP="002B7772">
      <w:pPr>
        <w:rPr>
          <w:b/>
        </w:rPr>
      </w:pPr>
      <w:r w:rsidRPr="00C31BFA">
        <w:t xml:space="preserve">Oggetto: </w:t>
      </w:r>
      <w:r w:rsidRPr="00C31BFA">
        <w:rPr>
          <w:b/>
        </w:rPr>
        <w:t>Determina per l’acquisizione delle coperture assicurative Infortuni e Responsabilità Civile</w:t>
      </w:r>
    </w:p>
    <w:p w14:paraId="38140AD3" w14:textId="77777777" w:rsidR="00232A07" w:rsidRPr="00C31BFA" w:rsidRDefault="00232A07" w:rsidP="002B7772">
      <w:pPr>
        <w:rPr>
          <w:b/>
        </w:rPr>
      </w:pPr>
    </w:p>
    <w:p w14:paraId="73F00A3B" w14:textId="77777777" w:rsidR="00C31BFA" w:rsidRPr="00232A07" w:rsidRDefault="00CC749A" w:rsidP="002013A1">
      <w:pPr>
        <w:jc w:val="right"/>
        <w:rPr>
          <w:rStyle w:val="FontStyle11"/>
          <w:rFonts w:ascii="Arial" w:hAnsi="Arial" w:cs="Arial"/>
        </w:rPr>
      </w:pPr>
      <w:r w:rsidRPr="00232A07">
        <w:rPr>
          <w:rStyle w:val="FontStyle11"/>
          <w:rFonts w:ascii="Arial" w:hAnsi="Arial" w:cs="Arial"/>
        </w:rPr>
        <w:t xml:space="preserve">Alla Sezione </w:t>
      </w:r>
      <w:r w:rsidR="00C31BFA" w:rsidRPr="00232A07">
        <w:rPr>
          <w:rStyle w:val="FontStyle11"/>
          <w:rFonts w:ascii="Arial" w:hAnsi="Arial" w:cs="Arial"/>
        </w:rPr>
        <w:t xml:space="preserve">PUBBLICITA’ LEGALE - </w:t>
      </w:r>
      <w:r w:rsidRPr="00232A07">
        <w:rPr>
          <w:rStyle w:val="FontStyle11"/>
          <w:rFonts w:ascii="Arial" w:hAnsi="Arial" w:cs="Arial"/>
        </w:rPr>
        <w:t>Sito Web</w:t>
      </w:r>
    </w:p>
    <w:p w14:paraId="5AC56182" w14:textId="77777777" w:rsidR="00C31BFA" w:rsidRPr="00232A07" w:rsidRDefault="00CC749A" w:rsidP="002013A1">
      <w:pPr>
        <w:jc w:val="right"/>
        <w:rPr>
          <w:rStyle w:val="FontStyle11"/>
          <w:rFonts w:ascii="Arial" w:hAnsi="Arial" w:cs="Arial"/>
        </w:rPr>
      </w:pPr>
      <w:r w:rsidRPr="00232A07">
        <w:rPr>
          <w:rStyle w:val="FontStyle11"/>
          <w:rFonts w:ascii="Arial" w:hAnsi="Arial" w:cs="Arial"/>
        </w:rPr>
        <w:t>Agli Atti</w:t>
      </w:r>
    </w:p>
    <w:p w14:paraId="613A9D9A" w14:textId="77777777" w:rsidR="001E377A" w:rsidRDefault="001E377A" w:rsidP="002B7772">
      <w:pPr>
        <w:rPr>
          <w:b/>
        </w:rPr>
      </w:pPr>
    </w:p>
    <w:p w14:paraId="20BD13EF" w14:textId="77777777" w:rsidR="00244348" w:rsidRDefault="00C31BFA" w:rsidP="002664DA">
      <w:pPr>
        <w:jc w:val="center"/>
        <w:rPr>
          <w:b/>
        </w:rPr>
      </w:pPr>
      <w:r w:rsidRPr="00DC2F77">
        <w:rPr>
          <w:b/>
        </w:rPr>
        <w:t>IL DIRIGENTE SCOLASTICO</w:t>
      </w:r>
    </w:p>
    <w:p w14:paraId="10B27C63" w14:textId="77777777" w:rsidR="00C76496" w:rsidRDefault="00C76496" w:rsidP="002B7772">
      <w:pPr>
        <w:rPr>
          <w:b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9170"/>
      </w:tblGrid>
      <w:tr w:rsidR="00232A07" w14:paraId="09EBEA57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A9D29" w14:textId="77777777" w:rsidR="00232A07" w:rsidRDefault="00232A07" w:rsidP="002B7772">
            <w:pPr>
              <w:rPr>
                <w:b/>
              </w:rPr>
            </w:pPr>
            <w:r w:rsidRPr="00CE04A8">
              <w:t>Considerata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BF466" w14:textId="07AF347B" w:rsidR="00232A07" w:rsidRDefault="00232A07" w:rsidP="002664DA">
            <w:pPr>
              <w:rPr>
                <w:b/>
              </w:rPr>
            </w:pPr>
            <w:r w:rsidRPr="00CE04A8">
              <w:t>la necessità di provvedere all’acquisizione delle coperture assicurative per gli alunni/studenti dell’Istituzione Scolastica</w:t>
            </w:r>
            <w:r w:rsidR="00125EDA">
              <w:t xml:space="preserve"> </w:t>
            </w:r>
            <w:r>
              <w:t>ISTITUTO DI ISTRUZIONE SUPERIORE "VINCENZO DANDOLO"</w:t>
            </w:r>
            <w:r w:rsidR="004E7BA3" w:rsidRPr="004E7BA3">
              <w:t>;</w:t>
            </w:r>
          </w:p>
        </w:tc>
      </w:tr>
      <w:tr w:rsidR="009B4D2B" w14:paraId="7DEA35FA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9B3B1" w14:textId="77777777" w:rsidR="009B4D2B" w:rsidRPr="00CE04A8" w:rsidRDefault="009B4D2B" w:rsidP="002B7772">
            <w:r>
              <w:t>Considerata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F6DF5" w14:textId="77777777" w:rsidR="009B4D2B" w:rsidRPr="00CE04A8" w:rsidRDefault="009B4D2B" w:rsidP="009B4D2B">
            <w:r>
              <w:t>la particolare forma giuridica del contratto assicurativo scolastico</w:t>
            </w:r>
            <w:r w:rsidR="002664DA">
              <w:t>,</w:t>
            </w:r>
            <w:r>
              <w:t xml:space="preserve"> che viene stipulato dall’Istituto per conto e a spese della</w:t>
            </w:r>
            <w:r w:rsidR="002664DA">
              <w:t xml:space="preserve"> propria utenza senza l’impiego </w:t>
            </w:r>
            <w:r>
              <w:t>di fondi erariali;</w:t>
            </w:r>
          </w:p>
        </w:tc>
      </w:tr>
      <w:tr w:rsidR="009B4D2B" w14:paraId="6FC38DAA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5C031" w14:textId="77777777" w:rsidR="009B4D2B" w:rsidRPr="00CE04A8" w:rsidRDefault="009B4D2B" w:rsidP="002B7772">
            <w:r>
              <w:t>Considerata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AE1C1" w14:textId="5FCBB5A1" w:rsidR="009B4D2B" w:rsidRPr="00CE04A8" w:rsidRDefault="009B4D2B" w:rsidP="002664DA">
            <w:r>
              <w:t xml:space="preserve">la necessità di rendicontare </w:t>
            </w:r>
            <w:r w:rsidR="002664DA">
              <w:t>al</w:t>
            </w:r>
            <w:r>
              <w:t>la propria utenza a norma dell’</w:t>
            </w:r>
            <w:r w:rsidR="002664DA">
              <w:t>a</w:t>
            </w:r>
            <w:r>
              <w:t>rt</w:t>
            </w:r>
            <w:r w:rsidR="002664DA">
              <w:t xml:space="preserve">. </w:t>
            </w:r>
            <w:r>
              <w:t xml:space="preserve">1713 </w:t>
            </w:r>
            <w:r w:rsidR="002664DA">
              <w:t xml:space="preserve">del </w:t>
            </w:r>
            <w:r>
              <w:t>Codice Civile le scelte operate</w:t>
            </w:r>
            <w:r w:rsidR="00D019CE" w:rsidRPr="00582E1E">
              <w:t xml:space="preserve">, </w:t>
            </w:r>
            <w:r w:rsidR="002664DA" w:rsidRPr="00582E1E">
              <w:t xml:space="preserve">fornendo adeguati </w:t>
            </w:r>
            <w:r w:rsidR="00D019CE" w:rsidRPr="00582E1E">
              <w:t xml:space="preserve">strumenti per valutare la </w:t>
            </w:r>
            <w:r w:rsidR="002664DA" w:rsidRPr="00582E1E">
              <w:t xml:space="preserve">congruità </w:t>
            </w:r>
            <w:r w:rsidR="00A1368F" w:rsidRPr="00582E1E">
              <w:t xml:space="preserve">tecnica delle proposte formulate dalle compagnie assicurative rispetto alle esigenze di </w:t>
            </w:r>
            <w:r w:rsidR="007C7AD4" w:rsidRPr="00582E1E">
              <w:t xml:space="preserve">maggior </w:t>
            </w:r>
            <w:r w:rsidR="00A1368F" w:rsidRPr="00582E1E">
              <w:t xml:space="preserve">copertura </w:t>
            </w:r>
            <w:r w:rsidR="007C7AD4" w:rsidRPr="00582E1E">
              <w:t xml:space="preserve">possibile </w:t>
            </w:r>
            <w:r w:rsidR="00A1368F" w:rsidRPr="00582E1E">
              <w:t>dei rischi</w:t>
            </w:r>
            <w:r w:rsidRPr="00582E1E">
              <w:t>;</w:t>
            </w:r>
          </w:p>
        </w:tc>
      </w:tr>
      <w:tr w:rsidR="002B7772" w14:paraId="7A0D173B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EA9D2" w14:textId="77777777" w:rsidR="002B7772" w:rsidRPr="00CE04A8" w:rsidRDefault="002B7772" w:rsidP="002B7772">
            <w:r w:rsidRPr="00CE04A8">
              <w:t>Visto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5A8E3" w14:textId="77777777" w:rsidR="002B7772" w:rsidRPr="00CE04A8" w:rsidRDefault="002B7772" w:rsidP="002664DA">
            <w:r>
              <w:t>i</w:t>
            </w:r>
            <w:r w:rsidRPr="00CE04A8">
              <w:t>l D.</w:t>
            </w:r>
            <w:r>
              <w:t xml:space="preserve"> </w:t>
            </w:r>
            <w:r w:rsidRPr="00CE04A8">
              <w:t>Lgs. 50/2016, Codice dei Contratti Pubblici, e successive modificazioni e integrazioni;</w:t>
            </w:r>
          </w:p>
        </w:tc>
      </w:tr>
      <w:tr w:rsidR="002B7772" w14:paraId="30501F67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11B8E" w14:textId="77777777" w:rsidR="002B7772" w:rsidRPr="00CE04A8" w:rsidRDefault="002B7772" w:rsidP="002B7772">
            <w:r w:rsidRPr="00CE04A8">
              <w:t>Vist</w:t>
            </w:r>
            <w:r w:rsidR="004E7BA3">
              <w:t>a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B10CB" w14:textId="77777777" w:rsidR="002B7772" w:rsidRPr="00CE04A8" w:rsidRDefault="002B7772" w:rsidP="002664DA">
            <w:r>
              <w:t>l</w:t>
            </w:r>
            <w:r w:rsidR="004E7BA3">
              <w:t>a</w:t>
            </w:r>
            <w:r w:rsidRPr="00CE04A8">
              <w:t xml:space="preserve"> Line</w:t>
            </w:r>
            <w:r w:rsidR="004E7BA3">
              <w:t>a</w:t>
            </w:r>
            <w:r w:rsidRPr="00CE04A8">
              <w:t xml:space="preserve"> Guida </w:t>
            </w:r>
            <w:r w:rsidR="002664DA">
              <w:t xml:space="preserve">Numero 4 </w:t>
            </w:r>
            <w:r w:rsidRPr="00CE04A8">
              <w:t>dell’Autorità Nazionale Anti Corruzione (ANAC) sulle procedure sotto-soglia;</w:t>
            </w:r>
          </w:p>
        </w:tc>
      </w:tr>
      <w:tr w:rsidR="004E7BA3" w14:paraId="5B49E217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7C3A" w14:textId="77777777" w:rsidR="004E7BA3" w:rsidRPr="00CE04A8" w:rsidRDefault="004E7BA3" w:rsidP="004E7BA3">
            <w:r w:rsidRPr="00CE04A8">
              <w:t>Vist</w:t>
            </w:r>
            <w:r>
              <w:t>a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76D53" w14:textId="77777777" w:rsidR="004E7BA3" w:rsidRPr="00CE04A8" w:rsidRDefault="004E7BA3" w:rsidP="002664DA">
            <w:r>
              <w:t>la</w:t>
            </w:r>
            <w:r w:rsidRPr="00CE04A8">
              <w:t xml:space="preserve"> Line</w:t>
            </w:r>
            <w:r>
              <w:t>a</w:t>
            </w:r>
            <w:r w:rsidR="002664DA">
              <w:t xml:space="preserve"> Guida Numero 2 dell’Autorità </w:t>
            </w:r>
            <w:r w:rsidRPr="00CE04A8">
              <w:t>Nazionale Anti Corruzione (ANAC) su</w:t>
            </w:r>
            <w:r>
              <w:t xml:space="preserve">i criteri </w:t>
            </w:r>
            <w:r w:rsidRPr="00A1368F">
              <w:t xml:space="preserve">matematici </w:t>
            </w:r>
            <w:r w:rsidR="002664DA" w:rsidRPr="00A1368F">
              <w:t xml:space="preserve">di valutazione </w:t>
            </w:r>
            <w:r w:rsidRPr="00A1368F">
              <w:t>d</w:t>
            </w:r>
            <w:r>
              <w:t>elle offerte economicamente più vantaggiose</w:t>
            </w:r>
            <w:r w:rsidRPr="00CE04A8">
              <w:t>;</w:t>
            </w:r>
          </w:p>
        </w:tc>
      </w:tr>
      <w:tr w:rsidR="004E7BA3" w14:paraId="2FBB5821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37D7F" w14:textId="77777777" w:rsidR="004E7BA3" w:rsidRPr="00CE04A8" w:rsidRDefault="004E7BA3" w:rsidP="004E7BA3">
            <w:r w:rsidRPr="00CE04A8">
              <w:t>Vist</w:t>
            </w:r>
            <w:r>
              <w:t>a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2559E" w14:textId="77777777" w:rsidR="004E7BA3" w:rsidRPr="00CE04A8" w:rsidRDefault="004E7BA3" w:rsidP="002664DA">
            <w:r>
              <w:t>la</w:t>
            </w:r>
            <w:r w:rsidRPr="00CE04A8">
              <w:t xml:space="preserve"> Line</w:t>
            </w:r>
            <w:r>
              <w:t>a</w:t>
            </w:r>
            <w:r w:rsidRPr="00CE04A8">
              <w:t xml:space="preserve"> Guida </w:t>
            </w:r>
            <w:r w:rsidR="002664DA">
              <w:t xml:space="preserve">Numero 618 </w:t>
            </w:r>
            <w:r w:rsidRPr="00CE04A8">
              <w:t>dell’Autorità Nazionale Anti Corruzione (ANAC) sull’affidamento dei servizi assicurativi;</w:t>
            </w:r>
          </w:p>
        </w:tc>
      </w:tr>
      <w:tr w:rsidR="00232A07" w14:paraId="2F759133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0B9A3" w14:textId="77777777" w:rsidR="00232A07" w:rsidRDefault="00232A07" w:rsidP="002B7772">
            <w:pPr>
              <w:rPr>
                <w:b/>
              </w:rPr>
            </w:pPr>
            <w:r w:rsidRPr="00CE04A8">
              <w:t>V</w:t>
            </w:r>
            <w:r w:rsidR="004E7BA3">
              <w:t xml:space="preserve">alutato 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E7F48" w14:textId="77777777" w:rsidR="00232A07" w:rsidRDefault="00232A07" w:rsidP="008A43FF">
            <w:pPr>
              <w:rPr>
                <w:b/>
              </w:rPr>
            </w:pPr>
            <w:r w:rsidRPr="00F66099">
              <w:t xml:space="preserve">il </w:t>
            </w:r>
            <w:r w:rsidR="002B7772" w:rsidRPr="002B7772">
              <w:t xml:space="preserve">Decreto 129 del 28 agosto 2018, </w:t>
            </w:r>
            <w:r w:rsidRPr="00F66099">
              <w:t>Regolamento di Contabilità delle Istituzioni Scolastiche</w:t>
            </w:r>
            <w:r w:rsidR="008A43FF">
              <w:t xml:space="preserve">, </w:t>
            </w:r>
            <w:r w:rsidR="002B7772" w:rsidRPr="002B7772">
              <w:t>in relazione all’art. 4</w:t>
            </w:r>
            <w:r w:rsidR="002B7772">
              <w:t>3</w:t>
            </w:r>
            <w:r w:rsidR="002B7772" w:rsidRPr="002B7772">
              <w:t xml:space="preserve"> comma </w:t>
            </w:r>
            <w:r w:rsidR="002B7772">
              <w:t>7</w:t>
            </w:r>
            <w:r w:rsidR="002B7772" w:rsidRPr="002B7772">
              <w:t xml:space="preserve">, </w:t>
            </w:r>
            <w:r w:rsidRPr="00F66099">
              <w:t>che classifica i servizi assicurativi come procedura di affidamento particolarmente complessa;</w:t>
            </w:r>
          </w:p>
        </w:tc>
      </w:tr>
      <w:tr w:rsidR="00232A07" w14:paraId="7F1564FE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0132A" w14:textId="77777777" w:rsidR="00232A07" w:rsidRPr="00CE04A8" w:rsidRDefault="00232A07" w:rsidP="002B7772">
            <w:r w:rsidRPr="00CE04A8">
              <w:t>V</w:t>
            </w:r>
            <w:r w:rsidR="004E7BA3">
              <w:t>alutato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C1098" w14:textId="77777777" w:rsidR="00232A07" w:rsidRPr="00CE04A8" w:rsidRDefault="00AA4E9B" w:rsidP="002B7772">
            <w:r>
              <w:t xml:space="preserve">il </w:t>
            </w:r>
            <w:r w:rsidR="002B7772" w:rsidRPr="002B7772">
              <w:t xml:space="preserve">Decreto 129 del 28 agosto 2018, </w:t>
            </w:r>
            <w:r w:rsidR="002B7772" w:rsidRPr="00F66099">
              <w:t>Regolamento di Contabilità delle Istituzioni Scolastiche</w:t>
            </w:r>
            <w:r w:rsidRPr="00AA4E9B">
              <w:t>,</w:t>
            </w:r>
            <w:r>
              <w:t xml:space="preserve"> in relazione all’</w:t>
            </w:r>
            <w:r w:rsidRPr="00CE04A8">
              <w:t xml:space="preserve">art. </w:t>
            </w:r>
            <w:r>
              <w:t>45</w:t>
            </w:r>
            <w:r w:rsidRPr="00CE04A8">
              <w:t xml:space="preserve"> comma 1</w:t>
            </w:r>
            <w:r w:rsidR="002B7772">
              <w:t>,</w:t>
            </w:r>
            <w:r w:rsidRPr="00CE04A8">
              <w:t xml:space="preserve"> lett</w:t>
            </w:r>
            <w:r w:rsidR="002B7772">
              <w:t>era</w:t>
            </w:r>
            <w:r w:rsidRPr="00CE04A8">
              <w:t xml:space="preserve"> </w:t>
            </w:r>
            <w:r>
              <w:t>d</w:t>
            </w:r>
            <w:r w:rsidR="002B7772">
              <w:t>,</w:t>
            </w:r>
            <w:r w:rsidRPr="00CE04A8">
              <w:t xml:space="preserve"> </w:t>
            </w:r>
            <w:r>
              <w:t>trattante le</w:t>
            </w:r>
            <w:r w:rsidRPr="00AA4E9B">
              <w:t xml:space="preserve"> </w:t>
            </w:r>
            <w:r>
              <w:t>competenze</w:t>
            </w:r>
            <w:r w:rsidRPr="00CE04A8">
              <w:t xml:space="preserve"> del Consiglio di </w:t>
            </w:r>
            <w:r>
              <w:t>I</w:t>
            </w:r>
            <w:r w:rsidRPr="00CE04A8">
              <w:t>stituto nell'attività negoziale;</w:t>
            </w:r>
          </w:p>
        </w:tc>
      </w:tr>
      <w:tr w:rsidR="004E7BA3" w14:paraId="624D9831" w14:textId="77777777" w:rsidTr="002B7772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052F1" w14:textId="77777777" w:rsidR="004E7BA3" w:rsidRPr="00CE04A8" w:rsidRDefault="004E7BA3" w:rsidP="004E7BA3">
            <w:r w:rsidRPr="00CE04A8">
              <w:t>Verificato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ACC54" w14:textId="77777777" w:rsidR="004E7BA3" w:rsidRPr="005215ED" w:rsidRDefault="004E7BA3" w:rsidP="008A43FF">
            <w:pPr>
              <w:rPr>
                <w:color w:val="FF0000"/>
              </w:rPr>
            </w:pPr>
            <w:r w:rsidRPr="00CE04A8">
              <w:t xml:space="preserve">che la Consip S.p.A. non ha attualmente attivato convenzioni per la fornitura dei beni/servizi di cui all'oggetto alle quali </w:t>
            </w:r>
            <w:r>
              <w:t>d</w:t>
            </w:r>
            <w:r w:rsidRPr="00CE04A8">
              <w:t>o</w:t>
            </w:r>
            <w:r>
              <w:t>v</w:t>
            </w:r>
            <w:r w:rsidRPr="00CE04A8">
              <w:t>er aderire ai sensi</w:t>
            </w:r>
            <w:r>
              <w:t xml:space="preserve"> della</w:t>
            </w:r>
            <w:r w:rsidRPr="00CE04A8">
              <w:t xml:space="preserve"> </w:t>
            </w:r>
            <w:r w:rsidRPr="007F2F4D">
              <w:rPr>
                <w:bCs/>
              </w:rPr>
              <w:t>Legge 24.12.2012, n. 228</w:t>
            </w:r>
            <w:r w:rsidRPr="00CE04A8">
              <w:t>;</w:t>
            </w:r>
            <w:r>
              <w:t xml:space="preserve"> </w:t>
            </w:r>
            <w:r w:rsidRPr="00F66099">
              <w:t>e che in ogni caso l’acquisizione delle coperture è neutrale sulla spesa pubblica, in quanto basata su fondi messi a disposizione delle famiglie</w:t>
            </w:r>
            <w:r>
              <w:t>;</w:t>
            </w:r>
          </w:p>
        </w:tc>
      </w:tr>
      <w:tr w:rsidR="00812E51" w14:paraId="5372916A" w14:textId="77777777" w:rsidTr="004E4730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47C4C" w14:textId="77777777" w:rsidR="00812E51" w:rsidRPr="00812E51" w:rsidRDefault="004E261C" w:rsidP="004E47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Osservato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14A0C" w14:textId="7BF9ED15" w:rsidR="00812E51" w:rsidRPr="00582E1E" w:rsidRDefault="00812E51" w:rsidP="004E4730">
            <w:pPr>
              <w:rPr>
                <w:color w:val="000000" w:themeColor="text1"/>
              </w:rPr>
            </w:pPr>
            <w:r w:rsidRPr="00582E1E">
              <w:rPr>
                <w:color w:val="000000" w:themeColor="text1"/>
              </w:rPr>
              <w:t>che per l’operatore economico uscente non costitui</w:t>
            </w:r>
            <w:r w:rsidR="00F43A72" w:rsidRPr="00582E1E">
              <w:rPr>
                <w:color w:val="000000" w:themeColor="text1"/>
              </w:rPr>
              <w:t>rebbe</w:t>
            </w:r>
            <w:r w:rsidRPr="00582E1E">
              <w:rPr>
                <w:color w:val="000000" w:themeColor="text1"/>
              </w:rPr>
              <w:t xml:space="preserve"> rendita di posizione la disponibilità delle informazioni sui sinistri acquisite durante il pregresso affidamento, in quanto</w:t>
            </w:r>
            <w:r w:rsidR="00F43A72" w:rsidRPr="00582E1E">
              <w:rPr>
                <w:color w:val="000000" w:themeColor="text1"/>
              </w:rPr>
              <w:t>, per consuetudine di mercato,</w:t>
            </w:r>
            <w:r w:rsidRPr="00582E1E">
              <w:rPr>
                <w:color w:val="000000" w:themeColor="text1"/>
              </w:rPr>
              <w:t xml:space="preserve"> tali informazioni non vengono richieste per la configurazione dell’offerta;</w:t>
            </w:r>
          </w:p>
        </w:tc>
      </w:tr>
      <w:tr w:rsidR="004E7BA3" w14:paraId="2D85458A" w14:textId="77777777" w:rsidTr="008C7860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16E4A" w14:textId="77777777" w:rsidR="004E7BA3" w:rsidRPr="00CE04A8" w:rsidRDefault="00812E51" w:rsidP="008C7860">
            <w:r>
              <w:t>Assegnato</w:t>
            </w:r>
            <w:r w:rsidR="004E7BA3">
              <w:t xml:space="preserve"> 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10479" w14:textId="76E18480" w:rsidR="004E7BA3" w:rsidRPr="00582E1E" w:rsidRDefault="004E7BA3" w:rsidP="00CB3EBE">
            <w:r w:rsidRPr="00582E1E">
              <w:t xml:space="preserve">l’incarico di assistenza tecnica alla società di brokeraggio </w:t>
            </w:r>
            <w:r w:rsidR="008E1F0C">
              <w:t>Logica Insurance Broker</w:t>
            </w:r>
            <w:r w:rsidR="00C20316" w:rsidRPr="00C20316">
              <w:t xml:space="preserve"> Srl</w:t>
            </w:r>
            <w:r w:rsidRPr="00582E1E">
              <w:t xml:space="preserve">, </w:t>
            </w:r>
            <w:r w:rsidR="009B4D2B" w:rsidRPr="00582E1E">
              <w:t xml:space="preserve">in qualità di intermediario che agisce su incarico del cliente come da </w:t>
            </w:r>
            <w:r w:rsidR="00F127D7" w:rsidRPr="00582E1E">
              <w:t>articolo 109 lettera B</w:t>
            </w:r>
            <w:r w:rsidR="009B4D2B" w:rsidRPr="00582E1E">
              <w:t xml:space="preserve"> del </w:t>
            </w:r>
            <w:r w:rsidRPr="00582E1E">
              <w:t>D. Lgs. n. 209/2005</w:t>
            </w:r>
            <w:r w:rsidR="009B4D2B" w:rsidRPr="00582E1E">
              <w:t>, Codice delle Assicurazioni;</w:t>
            </w:r>
          </w:p>
        </w:tc>
      </w:tr>
      <w:tr w:rsidR="008F5BEA" w14:paraId="6D959085" w14:textId="77777777" w:rsidTr="00B06AB3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97FB9" w14:textId="77777777" w:rsidR="008F5BEA" w:rsidRPr="00C76496" w:rsidRDefault="008F5BEA" w:rsidP="004E7BA3"/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5BCB8" w14:textId="77777777" w:rsidR="008F5BEA" w:rsidRPr="00C76496" w:rsidRDefault="008F5BEA" w:rsidP="004E7BA3"/>
        </w:tc>
      </w:tr>
      <w:tr w:rsidR="004E7BA3" w14:paraId="76DD6213" w14:textId="77777777" w:rsidTr="00B06AB3">
        <w:tc>
          <w:tcPr>
            <w:tcW w:w="500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62891" w14:textId="77777777" w:rsidR="004E7BA3" w:rsidRDefault="004E7BA3" w:rsidP="008A43FF">
            <w:pPr>
              <w:jc w:val="center"/>
              <w:rPr>
                <w:b/>
              </w:rPr>
            </w:pPr>
            <w:r w:rsidRPr="00DC2F77">
              <w:rPr>
                <w:b/>
              </w:rPr>
              <w:t>DETERMINA</w:t>
            </w:r>
          </w:p>
          <w:p w14:paraId="3BDF0C08" w14:textId="77777777" w:rsidR="004E7BA3" w:rsidRPr="004F3EEA" w:rsidRDefault="004E7BA3" w:rsidP="004E7BA3">
            <w:pPr>
              <w:rPr>
                <w:strike/>
              </w:rPr>
            </w:pPr>
          </w:p>
        </w:tc>
      </w:tr>
      <w:tr w:rsidR="00B06AB3" w14:paraId="463D7D28" w14:textId="77777777" w:rsidTr="00B06AB3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86492" w14:textId="77777777" w:rsidR="00B06AB3" w:rsidRPr="00CE04A8" w:rsidRDefault="00B06AB3" w:rsidP="00AC2DFA">
            <w:r>
              <w:t>di indire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6FDA5" w14:textId="2EA0888A" w:rsidR="00B06AB3" w:rsidRPr="00CE04A8" w:rsidRDefault="00B06AB3" w:rsidP="00AC2DFA">
            <w:r>
              <w:t>una procedura per l'affidamento della fornitura delle coperture assicurative Infortuni e Responsabilità Civile sulla base del criterio dell'offerta economicamente più vantaggiosa</w:t>
            </w:r>
            <w:r w:rsidR="008A43FF">
              <w:t>,</w:t>
            </w:r>
            <w:r>
              <w:t xml:space="preserve"> </w:t>
            </w:r>
            <w:r w:rsidRPr="00582E1E">
              <w:t xml:space="preserve">invitando </w:t>
            </w:r>
            <w:r w:rsidR="00F43A72" w:rsidRPr="00582E1E">
              <w:t>i pochi</w:t>
            </w:r>
            <w:r w:rsidRPr="00582E1E">
              <w:t xml:space="preserve"> operatori </w:t>
            </w:r>
            <w:r w:rsidRPr="00582E1E">
              <w:lastRenderedPageBreak/>
              <w:t xml:space="preserve">economici </w:t>
            </w:r>
            <w:r w:rsidR="00F43A72" w:rsidRPr="00582E1E">
              <w:t xml:space="preserve">ancora </w:t>
            </w:r>
            <w:r w:rsidRPr="00582E1E">
              <w:t>operanti nel settore scolastico a present</w:t>
            </w:r>
            <w:r w:rsidRPr="00D019CE">
              <w:t>are un’offerta (in numero comunque non inferiore a 5), tra cui l’assegnatario uscente e gli assegnatari passati;</w:t>
            </w:r>
          </w:p>
        </w:tc>
      </w:tr>
      <w:tr w:rsidR="00B06AB3" w14:paraId="08327C86" w14:textId="77777777" w:rsidTr="00B06AB3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735AF" w14:textId="77777777" w:rsidR="00B06AB3" w:rsidRPr="00CE04A8" w:rsidRDefault="00B06AB3" w:rsidP="00AC2DFA">
            <w:r w:rsidRPr="00E923D9">
              <w:lastRenderedPageBreak/>
              <w:t>di pubblicare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33F5D" w14:textId="743D7CA4" w:rsidR="00B06AB3" w:rsidRDefault="00B06AB3" w:rsidP="00AC2DFA">
            <w:r w:rsidRPr="00E923D9">
              <w:t>i dati conoscitivi del contratto assicurativo nella sezione Amministrazione Trasparente del sito web dell’Istituto Scolastico (legge 190/2012, d.lgs. 33/2013)</w:t>
            </w:r>
            <w:r>
              <w:t>;</w:t>
            </w:r>
          </w:p>
        </w:tc>
      </w:tr>
      <w:tr w:rsidR="00B06AB3" w14:paraId="1886788D" w14:textId="77777777" w:rsidTr="00B06AB3">
        <w:tc>
          <w:tcPr>
            <w:tcW w:w="61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FDAD4" w14:textId="77777777" w:rsidR="00B06AB3" w:rsidRPr="00CE04A8" w:rsidRDefault="00B06AB3" w:rsidP="00AC2DFA">
            <w:r>
              <w:t>di stabilire</w:t>
            </w:r>
          </w:p>
        </w:tc>
        <w:tc>
          <w:tcPr>
            <w:tcW w:w="438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AA8B2" w14:textId="03C7C29D" w:rsidR="00B06AB3" w:rsidRDefault="00B06AB3" w:rsidP="00AC2DFA">
            <w:r>
              <w:t xml:space="preserve">che il contratto con l’operatore che risulterà </w:t>
            </w:r>
            <w:r w:rsidRPr="00582E1E">
              <w:t>aggiudicatari</w:t>
            </w:r>
            <w:r w:rsidR="00F43A72" w:rsidRPr="00582E1E">
              <w:t>o</w:t>
            </w:r>
            <w:r w:rsidRPr="00582E1E">
              <w:t xml:space="preserve"> v</w:t>
            </w:r>
            <w:r>
              <w:t xml:space="preserve">errà stipulato per mezzo di corrispondenza, secondo le normative e l'uso del settore assicurativo, dopo aver verificato i requisiti </w:t>
            </w:r>
            <w:r w:rsidRPr="008D2F47">
              <w:rPr>
                <w:bCs/>
              </w:rPr>
              <w:t>di carattere generale, tecnico-professionale ed economico e finanziario</w:t>
            </w:r>
            <w:r>
              <w:rPr>
                <w:bCs/>
              </w:rPr>
              <w:t xml:space="preserve"> </w:t>
            </w:r>
            <w:r>
              <w:t>degli operatori stessi (art. 81 d.lgs. 50/2016 e ss.mm.).</w:t>
            </w:r>
          </w:p>
        </w:tc>
      </w:tr>
    </w:tbl>
    <w:p w14:paraId="79CB826D" w14:textId="77777777" w:rsidR="002B7772" w:rsidRDefault="002B7772" w:rsidP="002B7772">
      <w:pPr>
        <w:rPr>
          <w:b/>
        </w:rPr>
      </w:pPr>
    </w:p>
    <w:p w14:paraId="0F577B33" w14:textId="77777777" w:rsidR="00D84343" w:rsidRPr="00DC2F77" w:rsidRDefault="00D84343" w:rsidP="002B7772">
      <w:pPr>
        <w:rPr>
          <w:b/>
        </w:rPr>
      </w:pPr>
    </w:p>
    <w:p w14:paraId="2A1E00B6" w14:textId="77777777" w:rsidR="00232A07" w:rsidRDefault="00232A07" w:rsidP="002B7772"/>
    <w:p w14:paraId="5C0E0DE6" w14:textId="77777777" w:rsidR="00232A07" w:rsidRPr="00232A07" w:rsidRDefault="00232A07" w:rsidP="002B7772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594"/>
        <w:gridCol w:w="3592"/>
      </w:tblGrid>
      <w:tr w:rsidR="00E54684" w:rsidRPr="009F0B1B" w14:paraId="1AEB51F3" w14:textId="77777777" w:rsidTr="006979FC">
        <w:tc>
          <w:tcPr>
            <w:tcW w:w="1567" w:type="pct"/>
          </w:tcPr>
          <w:p w14:paraId="22380AD8" w14:textId="77777777" w:rsidR="00E54684" w:rsidRPr="009F0B1B" w:rsidRDefault="00E54684" w:rsidP="002B7772"/>
        </w:tc>
        <w:tc>
          <w:tcPr>
            <w:tcW w:w="1717" w:type="pct"/>
          </w:tcPr>
          <w:p w14:paraId="5B04D596" w14:textId="77777777" w:rsidR="00E54684" w:rsidRPr="009F0B1B" w:rsidRDefault="00E54684" w:rsidP="002B7772"/>
        </w:tc>
        <w:tc>
          <w:tcPr>
            <w:tcW w:w="1716" w:type="pct"/>
          </w:tcPr>
          <w:p w14:paraId="6382C284" w14:textId="77777777" w:rsidR="00E54684" w:rsidRDefault="00E95E6A" w:rsidP="002B7772">
            <w:r>
              <w:t xml:space="preserve">Il </w:t>
            </w:r>
            <w:r w:rsidR="00E54684" w:rsidRPr="009F0B1B">
              <w:t>Dirigente Scolastico</w:t>
            </w:r>
            <w:r w:rsidR="00D37D44">
              <w:t xml:space="preserve"> </w:t>
            </w:r>
          </w:p>
          <w:p w14:paraId="2A6D38CB" w14:textId="77777777" w:rsidR="006979FC" w:rsidRDefault="006979FC" w:rsidP="002B7772"/>
          <w:p w14:paraId="3B287A5F" w14:textId="77777777" w:rsidR="006979FC" w:rsidRPr="009F0B1B" w:rsidRDefault="006979FC" w:rsidP="002B7772">
            <w:r>
              <w:t>____________________</w:t>
            </w:r>
          </w:p>
        </w:tc>
      </w:tr>
    </w:tbl>
    <w:p w14:paraId="50B39D09" w14:textId="77777777" w:rsidR="00D058D9" w:rsidRDefault="00D019CE" w:rsidP="00D019CE">
      <w:r>
        <w:t xml:space="preserve"> </w:t>
      </w:r>
    </w:p>
    <w:sectPr w:rsidR="00D058D9" w:rsidSect="00CB598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DA77" w14:textId="77777777" w:rsidR="00ED7D2C" w:rsidRDefault="00ED7D2C" w:rsidP="006979FC">
      <w:pPr>
        <w:spacing w:after="0"/>
      </w:pPr>
      <w:r>
        <w:separator/>
      </w:r>
    </w:p>
  </w:endnote>
  <w:endnote w:type="continuationSeparator" w:id="0">
    <w:p w14:paraId="206B2B7D" w14:textId="77777777" w:rsidR="00ED7D2C" w:rsidRDefault="00ED7D2C" w:rsidP="00697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595648"/>
      <w:docPartObj>
        <w:docPartGallery w:val="Page Numbers (Bottom of Page)"/>
        <w:docPartUnique/>
      </w:docPartObj>
    </w:sdtPr>
    <w:sdtEndPr/>
    <w:sdtContent>
      <w:p w14:paraId="276EB120" w14:textId="77777777" w:rsidR="006979FC" w:rsidRDefault="006979F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7E4">
          <w:rPr>
            <w:noProof/>
          </w:rPr>
          <w:t>2</w:t>
        </w:r>
        <w:r>
          <w:fldChar w:fldCharType="end"/>
        </w:r>
      </w:p>
    </w:sdtContent>
  </w:sdt>
  <w:p w14:paraId="5C8DDC0F" w14:textId="77777777" w:rsidR="006979FC" w:rsidRDefault="00697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8AAD" w14:textId="77777777" w:rsidR="00ED7D2C" w:rsidRDefault="00ED7D2C" w:rsidP="006979FC">
      <w:pPr>
        <w:spacing w:after="0"/>
      </w:pPr>
      <w:r>
        <w:separator/>
      </w:r>
    </w:p>
  </w:footnote>
  <w:footnote w:type="continuationSeparator" w:id="0">
    <w:p w14:paraId="209E41A1" w14:textId="77777777" w:rsidR="00ED7D2C" w:rsidRDefault="00ED7D2C" w:rsidP="006979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53C"/>
    <w:multiLevelType w:val="hybridMultilevel"/>
    <w:tmpl w:val="57721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C32"/>
    <w:multiLevelType w:val="hybridMultilevel"/>
    <w:tmpl w:val="73D07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5B7"/>
    <w:multiLevelType w:val="hybridMultilevel"/>
    <w:tmpl w:val="4ACC0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1962"/>
    <w:multiLevelType w:val="hybridMultilevel"/>
    <w:tmpl w:val="D1F671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43A3"/>
    <w:multiLevelType w:val="hybridMultilevel"/>
    <w:tmpl w:val="A176C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952B8"/>
    <w:multiLevelType w:val="hybridMultilevel"/>
    <w:tmpl w:val="FDC2C1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934184F"/>
    <w:multiLevelType w:val="hybridMultilevel"/>
    <w:tmpl w:val="63647E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3F81"/>
    <w:multiLevelType w:val="hybridMultilevel"/>
    <w:tmpl w:val="FA1224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E69FA"/>
    <w:multiLevelType w:val="hybridMultilevel"/>
    <w:tmpl w:val="3392E5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07F9B"/>
    <w:multiLevelType w:val="hybridMultilevel"/>
    <w:tmpl w:val="787ED9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A2EF6"/>
    <w:multiLevelType w:val="hybridMultilevel"/>
    <w:tmpl w:val="88D2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28054">
    <w:abstractNumId w:val="3"/>
  </w:num>
  <w:num w:numId="2" w16cid:durableId="394936057">
    <w:abstractNumId w:val="4"/>
  </w:num>
  <w:num w:numId="3" w16cid:durableId="2071609429">
    <w:abstractNumId w:val="7"/>
  </w:num>
  <w:num w:numId="4" w16cid:durableId="1091388787">
    <w:abstractNumId w:val="11"/>
  </w:num>
  <w:num w:numId="5" w16cid:durableId="474683819">
    <w:abstractNumId w:val="2"/>
  </w:num>
  <w:num w:numId="6" w16cid:durableId="283508745">
    <w:abstractNumId w:val="8"/>
  </w:num>
  <w:num w:numId="7" w16cid:durableId="650673760">
    <w:abstractNumId w:val="9"/>
  </w:num>
  <w:num w:numId="8" w16cid:durableId="839856127">
    <w:abstractNumId w:val="10"/>
  </w:num>
  <w:num w:numId="9" w16cid:durableId="643701574">
    <w:abstractNumId w:val="6"/>
  </w:num>
  <w:num w:numId="10" w16cid:durableId="1873878253">
    <w:abstractNumId w:val="5"/>
  </w:num>
  <w:num w:numId="11" w16cid:durableId="1951937288">
    <w:abstractNumId w:val="0"/>
  </w:num>
  <w:num w:numId="12" w16cid:durableId="75209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48"/>
    <w:rsid w:val="000136B0"/>
    <w:rsid w:val="00020D05"/>
    <w:rsid w:val="000469CA"/>
    <w:rsid w:val="00085364"/>
    <w:rsid w:val="00095A23"/>
    <w:rsid w:val="000B1282"/>
    <w:rsid w:val="000B2001"/>
    <w:rsid w:val="000B4152"/>
    <w:rsid w:val="000E6077"/>
    <w:rsid w:val="000F46D7"/>
    <w:rsid w:val="0012265C"/>
    <w:rsid w:val="00125EDA"/>
    <w:rsid w:val="00131D44"/>
    <w:rsid w:val="001344EF"/>
    <w:rsid w:val="00147F32"/>
    <w:rsid w:val="00164B1A"/>
    <w:rsid w:val="001941F4"/>
    <w:rsid w:val="001B644B"/>
    <w:rsid w:val="001C6C4D"/>
    <w:rsid w:val="001E377A"/>
    <w:rsid w:val="001F4DD1"/>
    <w:rsid w:val="002013A1"/>
    <w:rsid w:val="00230EB9"/>
    <w:rsid w:val="00232A07"/>
    <w:rsid w:val="00244348"/>
    <w:rsid w:val="0024701F"/>
    <w:rsid w:val="002664DA"/>
    <w:rsid w:val="00266E3E"/>
    <w:rsid w:val="00270469"/>
    <w:rsid w:val="002B7772"/>
    <w:rsid w:val="003030FF"/>
    <w:rsid w:val="00305DB4"/>
    <w:rsid w:val="00323CD6"/>
    <w:rsid w:val="00331B47"/>
    <w:rsid w:val="00342936"/>
    <w:rsid w:val="00345EEE"/>
    <w:rsid w:val="0036170F"/>
    <w:rsid w:val="00365FA6"/>
    <w:rsid w:val="003A4C12"/>
    <w:rsid w:val="003A57E4"/>
    <w:rsid w:val="0042602A"/>
    <w:rsid w:val="00462FCF"/>
    <w:rsid w:val="004A5800"/>
    <w:rsid w:val="004C1C09"/>
    <w:rsid w:val="004E261C"/>
    <w:rsid w:val="004E7BA3"/>
    <w:rsid w:val="004F3EEA"/>
    <w:rsid w:val="005215ED"/>
    <w:rsid w:val="00521E7C"/>
    <w:rsid w:val="00535B50"/>
    <w:rsid w:val="00551994"/>
    <w:rsid w:val="00555847"/>
    <w:rsid w:val="00560C61"/>
    <w:rsid w:val="00582E1E"/>
    <w:rsid w:val="00594578"/>
    <w:rsid w:val="005963DA"/>
    <w:rsid w:val="005E5B3C"/>
    <w:rsid w:val="005F5FA8"/>
    <w:rsid w:val="00644887"/>
    <w:rsid w:val="006461AE"/>
    <w:rsid w:val="00692F6E"/>
    <w:rsid w:val="006979FC"/>
    <w:rsid w:val="006C17BB"/>
    <w:rsid w:val="006E56A0"/>
    <w:rsid w:val="006E5DD6"/>
    <w:rsid w:val="00724D09"/>
    <w:rsid w:val="00736E28"/>
    <w:rsid w:val="007465F6"/>
    <w:rsid w:val="00752039"/>
    <w:rsid w:val="007B317F"/>
    <w:rsid w:val="007C7AD4"/>
    <w:rsid w:val="007E2FA6"/>
    <w:rsid w:val="007F2F4D"/>
    <w:rsid w:val="00812E51"/>
    <w:rsid w:val="008509F6"/>
    <w:rsid w:val="008517BD"/>
    <w:rsid w:val="008765CB"/>
    <w:rsid w:val="00890F49"/>
    <w:rsid w:val="008A43FF"/>
    <w:rsid w:val="008D017E"/>
    <w:rsid w:val="008D1214"/>
    <w:rsid w:val="008D16BB"/>
    <w:rsid w:val="008D2F47"/>
    <w:rsid w:val="008D501E"/>
    <w:rsid w:val="008E1F0C"/>
    <w:rsid w:val="008E4214"/>
    <w:rsid w:val="008F5BEA"/>
    <w:rsid w:val="00901C8D"/>
    <w:rsid w:val="0091704D"/>
    <w:rsid w:val="0092316C"/>
    <w:rsid w:val="00936552"/>
    <w:rsid w:val="00937230"/>
    <w:rsid w:val="00952905"/>
    <w:rsid w:val="009707C3"/>
    <w:rsid w:val="00975340"/>
    <w:rsid w:val="009B4D2B"/>
    <w:rsid w:val="009C2E94"/>
    <w:rsid w:val="009E2124"/>
    <w:rsid w:val="00A119E4"/>
    <w:rsid w:val="00A1368F"/>
    <w:rsid w:val="00A1664D"/>
    <w:rsid w:val="00A201D4"/>
    <w:rsid w:val="00A63BC5"/>
    <w:rsid w:val="00A81F96"/>
    <w:rsid w:val="00AA2251"/>
    <w:rsid w:val="00AA4E9B"/>
    <w:rsid w:val="00AC1188"/>
    <w:rsid w:val="00AE2747"/>
    <w:rsid w:val="00B06AB3"/>
    <w:rsid w:val="00B24F60"/>
    <w:rsid w:val="00B474B4"/>
    <w:rsid w:val="00B56D48"/>
    <w:rsid w:val="00BB7FC1"/>
    <w:rsid w:val="00BC01AF"/>
    <w:rsid w:val="00BC13F0"/>
    <w:rsid w:val="00BD4216"/>
    <w:rsid w:val="00BD7E48"/>
    <w:rsid w:val="00BF74EB"/>
    <w:rsid w:val="00C027C8"/>
    <w:rsid w:val="00C04D66"/>
    <w:rsid w:val="00C04F3C"/>
    <w:rsid w:val="00C20316"/>
    <w:rsid w:val="00C31BFA"/>
    <w:rsid w:val="00C36BAA"/>
    <w:rsid w:val="00C50123"/>
    <w:rsid w:val="00C75B04"/>
    <w:rsid w:val="00C76496"/>
    <w:rsid w:val="00C842AF"/>
    <w:rsid w:val="00CB3EBE"/>
    <w:rsid w:val="00CB5984"/>
    <w:rsid w:val="00CC749A"/>
    <w:rsid w:val="00CE04A8"/>
    <w:rsid w:val="00D019CE"/>
    <w:rsid w:val="00D058D9"/>
    <w:rsid w:val="00D1340B"/>
    <w:rsid w:val="00D31E5B"/>
    <w:rsid w:val="00D3337D"/>
    <w:rsid w:val="00D34242"/>
    <w:rsid w:val="00D34EBD"/>
    <w:rsid w:val="00D365BD"/>
    <w:rsid w:val="00D37D44"/>
    <w:rsid w:val="00D63E93"/>
    <w:rsid w:val="00D745F5"/>
    <w:rsid w:val="00D75841"/>
    <w:rsid w:val="00D76571"/>
    <w:rsid w:val="00D84343"/>
    <w:rsid w:val="00DB7503"/>
    <w:rsid w:val="00DC0788"/>
    <w:rsid w:val="00DC2F77"/>
    <w:rsid w:val="00E04FD4"/>
    <w:rsid w:val="00E22B1E"/>
    <w:rsid w:val="00E27508"/>
    <w:rsid w:val="00E50048"/>
    <w:rsid w:val="00E54684"/>
    <w:rsid w:val="00E923D9"/>
    <w:rsid w:val="00E95E6A"/>
    <w:rsid w:val="00EC0ADD"/>
    <w:rsid w:val="00EC0B14"/>
    <w:rsid w:val="00ED4DA8"/>
    <w:rsid w:val="00ED7D2C"/>
    <w:rsid w:val="00F01571"/>
    <w:rsid w:val="00F127D7"/>
    <w:rsid w:val="00F20396"/>
    <w:rsid w:val="00F21C24"/>
    <w:rsid w:val="00F247AC"/>
    <w:rsid w:val="00F43A72"/>
    <w:rsid w:val="00F66099"/>
    <w:rsid w:val="00F80465"/>
    <w:rsid w:val="00FA751F"/>
    <w:rsid w:val="00FC452E"/>
    <w:rsid w:val="00FD5337"/>
    <w:rsid w:val="00FE0979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9785"/>
  <w15:docId w15:val="{0E864F3C-BD20-41A6-94AF-091E906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772"/>
    <w:pPr>
      <w:spacing w:before="40" w:after="40" w:line="240" w:lineRule="auto"/>
    </w:pPr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434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43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E2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E2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02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rsid w:val="00C31BF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FontStyle17">
    <w:name w:val="Font Style17"/>
    <w:rsid w:val="00C31BFA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C31BFA"/>
    <w:rPr>
      <w:rFonts w:ascii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979F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9FC"/>
  </w:style>
  <w:style w:type="paragraph" w:styleId="Pidipagina">
    <w:name w:val="footer"/>
    <w:basedOn w:val="Normale"/>
    <w:link w:val="PidipaginaCarattere"/>
    <w:uiPriority w:val="99"/>
    <w:unhideWhenUsed/>
    <w:rsid w:val="006979F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Gianfranco Curreli</cp:lastModifiedBy>
  <cp:revision>5</cp:revision>
  <dcterms:created xsi:type="dcterms:W3CDTF">2021-04-22T09:49:00Z</dcterms:created>
  <dcterms:modified xsi:type="dcterms:W3CDTF">2022-06-23T07:20:00Z</dcterms:modified>
</cp:coreProperties>
</file>