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E7" w:rsidRPr="001A2AE7" w:rsidRDefault="001A2AE7" w:rsidP="001A2AE7">
      <w:pPr>
        <w:tabs>
          <w:tab w:val="left" w:pos="426"/>
          <w:tab w:val="left" w:pos="851"/>
          <w:tab w:val="left" w:pos="2268"/>
          <w:tab w:val="left" w:pos="5954"/>
        </w:tabs>
        <w:spacing w:after="0" w:line="240" w:lineRule="auto"/>
        <w:jc w:val="center"/>
        <w:rPr>
          <w:rFonts w:ascii="Verdana" w:hAnsi="Verdana"/>
          <w:color w:val="000000" w:themeColor="text1"/>
          <w:sz w:val="24"/>
          <w:szCs w:val="21"/>
        </w:rPr>
      </w:pPr>
      <w:r w:rsidRPr="001A2AE7">
        <w:rPr>
          <w:rFonts w:ascii="Verdana" w:hAnsi="Verdana"/>
          <w:color w:val="000000" w:themeColor="text1"/>
          <w:sz w:val="24"/>
          <w:szCs w:val="21"/>
        </w:rPr>
        <w:t>S.N.A.L.S.-Conf.S.A.L.</w:t>
      </w:r>
    </w:p>
    <w:p w:rsidR="001A2AE7" w:rsidRPr="001A2AE7" w:rsidRDefault="001A2AE7" w:rsidP="001A2AE7">
      <w:pPr>
        <w:tabs>
          <w:tab w:val="left" w:pos="426"/>
          <w:tab w:val="left" w:pos="851"/>
          <w:tab w:val="left" w:pos="2268"/>
          <w:tab w:val="left" w:pos="5954"/>
        </w:tabs>
        <w:spacing w:after="0" w:line="240" w:lineRule="auto"/>
        <w:jc w:val="center"/>
        <w:rPr>
          <w:rFonts w:ascii="Verdana" w:hAnsi="Verdana"/>
          <w:color w:val="000000" w:themeColor="text1"/>
          <w:sz w:val="21"/>
          <w:szCs w:val="21"/>
        </w:rPr>
      </w:pPr>
      <w:r w:rsidRPr="001A2AE7">
        <w:rPr>
          <w:rFonts w:ascii="Verdana" w:hAnsi="Verdana"/>
          <w:color w:val="000000" w:themeColor="text1"/>
          <w:sz w:val="21"/>
          <w:szCs w:val="21"/>
        </w:rPr>
        <w:t>Sindacato Nazionale Autonomo Lavoratori Scuola</w:t>
      </w:r>
    </w:p>
    <w:p w:rsidR="001A2AE7" w:rsidRPr="001A2AE7" w:rsidRDefault="00D24CC4" w:rsidP="001A2AE7">
      <w:pPr>
        <w:tabs>
          <w:tab w:val="left" w:pos="426"/>
          <w:tab w:val="left" w:pos="851"/>
          <w:tab w:val="left" w:pos="2268"/>
          <w:tab w:val="left" w:pos="5954"/>
        </w:tabs>
        <w:spacing w:after="0" w:line="240" w:lineRule="auto"/>
        <w:jc w:val="center"/>
        <w:rPr>
          <w:rFonts w:ascii="Verdana" w:hAnsi="Verdana"/>
          <w:color w:val="000000" w:themeColor="text1"/>
          <w:sz w:val="20"/>
          <w:szCs w:val="21"/>
        </w:rPr>
      </w:pPr>
      <w:r>
        <w:rPr>
          <w:rFonts w:ascii="Verdana" w:hAnsi="Verdana"/>
          <w:color w:val="000000" w:themeColor="text1"/>
          <w:sz w:val="20"/>
          <w:szCs w:val="21"/>
        </w:rPr>
        <w:t>COMO</w:t>
      </w:r>
    </w:p>
    <w:p w:rsidR="001A2AE7" w:rsidRPr="001A2AE7" w:rsidRDefault="001A2AE7" w:rsidP="001A2AE7">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1A2AE7" w:rsidRPr="001A2AE7" w:rsidRDefault="001A2AE7" w:rsidP="001A2AE7">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A069E1" w:rsidRDefault="001A2AE7" w:rsidP="00D24CC4">
      <w:pPr>
        <w:tabs>
          <w:tab w:val="left" w:pos="5954"/>
        </w:tabs>
        <w:spacing w:after="0" w:line="240" w:lineRule="auto"/>
        <w:jc w:val="both"/>
        <w:rPr>
          <w:rFonts w:ascii="Verdana" w:hAnsi="Verdana"/>
          <w:color w:val="000000" w:themeColor="text1"/>
          <w:sz w:val="21"/>
          <w:szCs w:val="21"/>
        </w:rPr>
      </w:pPr>
      <w:r w:rsidRPr="001A2AE7">
        <w:rPr>
          <w:rFonts w:ascii="Verdana" w:hAnsi="Verdana"/>
          <w:i/>
          <w:color w:val="000000" w:themeColor="text1"/>
          <w:sz w:val="24"/>
          <w:szCs w:val="21"/>
        </w:rPr>
        <w:t>Notiziario Sindacale</w:t>
      </w:r>
      <w:r w:rsidRPr="001A2AE7">
        <w:rPr>
          <w:rFonts w:ascii="Verdana" w:hAnsi="Verdana"/>
          <w:color w:val="000000" w:themeColor="text1"/>
          <w:sz w:val="21"/>
          <w:szCs w:val="21"/>
        </w:rPr>
        <w:tab/>
      </w:r>
      <w:r w:rsidR="00D24CC4">
        <w:rPr>
          <w:rFonts w:ascii="Verdana" w:hAnsi="Verdana"/>
          <w:color w:val="000000" w:themeColor="text1"/>
          <w:sz w:val="21"/>
          <w:szCs w:val="21"/>
        </w:rPr>
        <w:t>alle RSU</w:t>
      </w:r>
    </w:p>
    <w:p w:rsidR="00D24CC4" w:rsidRDefault="00D24CC4" w:rsidP="00D24CC4">
      <w:pPr>
        <w:tabs>
          <w:tab w:val="left" w:pos="5954"/>
        </w:tabs>
        <w:spacing w:after="0" w:line="240" w:lineRule="auto"/>
        <w:jc w:val="both"/>
        <w:rPr>
          <w:rFonts w:ascii="Verdana" w:hAnsi="Verdana"/>
          <w:color w:val="000000" w:themeColor="text1"/>
          <w:sz w:val="21"/>
          <w:szCs w:val="21"/>
        </w:rPr>
      </w:pPr>
      <w:r>
        <w:rPr>
          <w:rFonts w:ascii="Verdana" w:hAnsi="Verdana"/>
          <w:color w:val="000000" w:themeColor="text1"/>
          <w:sz w:val="21"/>
          <w:szCs w:val="21"/>
        </w:rPr>
        <w:tab/>
        <w:t>albo sindacale</w:t>
      </w:r>
      <w:r>
        <w:rPr>
          <w:rFonts w:ascii="Verdana" w:hAnsi="Verdana"/>
          <w:color w:val="000000" w:themeColor="text1"/>
          <w:sz w:val="21"/>
          <w:szCs w:val="21"/>
        </w:rPr>
        <w:tab/>
      </w:r>
      <w:r>
        <w:rPr>
          <w:rFonts w:ascii="Verdana" w:hAnsi="Verdana"/>
          <w:color w:val="000000" w:themeColor="text1"/>
          <w:sz w:val="21"/>
          <w:szCs w:val="21"/>
        </w:rPr>
        <w:tab/>
      </w:r>
    </w:p>
    <w:p w:rsidR="00AF5C4F" w:rsidRDefault="00AF5C4F"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AF5C4F" w:rsidRDefault="00AF5C4F"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2E7248" w:rsidRDefault="002E7248"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Pr>
          <w:rFonts w:ascii="Verdana" w:hAnsi="Verdana"/>
          <w:color w:val="000000" w:themeColor="text1"/>
          <w:sz w:val="21"/>
          <w:szCs w:val="21"/>
        </w:rPr>
        <w:t>*</w:t>
      </w:r>
      <w:r>
        <w:rPr>
          <w:rFonts w:ascii="Verdana" w:hAnsi="Verdana"/>
          <w:color w:val="000000" w:themeColor="text1"/>
          <w:sz w:val="21"/>
          <w:szCs w:val="21"/>
        </w:rPr>
        <w:tab/>
      </w:r>
      <w:r w:rsidRPr="00513A51">
        <w:rPr>
          <w:rFonts w:ascii="Verdana" w:hAnsi="Verdana"/>
          <w:color w:val="000000" w:themeColor="text1"/>
          <w:sz w:val="21"/>
          <w:szCs w:val="21"/>
          <w:u w:val="single"/>
        </w:rPr>
        <w:t>SOTTOSCRITTA AL MIM L’IPOTESI DEL FMOF PER L’A.S. 2023/2024</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 xml:space="preserve">Si è svolto l’incontro di contrattazione sul CCNI FMOF per </w:t>
      </w:r>
      <w:proofErr w:type="spellStart"/>
      <w:r w:rsidRPr="00513A51">
        <w:rPr>
          <w:rFonts w:ascii="Verdana" w:hAnsi="Verdana"/>
          <w:color w:val="000000" w:themeColor="text1"/>
          <w:sz w:val="21"/>
          <w:szCs w:val="21"/>
        </w:rPr>
        <w:t>l’a.s.</w:t>
      </w:r>
      <w:proofErr w:type="spellEnd"/>
      <w:r w:rsidRPr="00513A51">
        <w:rPr>
          <w:rFonts w:ascii="Verdana" w:hAnsi="Verdana"/>
          <w:color w:val="000000" w:themeColor="text1"/>
          <w:sz w:val="21"/>
          <w:szCs w:val="21"/>
        </w:rPr>
        <w:t xml:space="preserve"> 2023/2024, che, secondo la proposta dell’Amministrazione, vede la complessiva somma di euro 800.860.000,00 ripartita tra gli istituti contrattuali di cui all’articolo 40 CCNL 2016/2018 del</w:t>
      </w:r>
      <w:r w:rsidR="0044775B">
        <w:rPr>
          <w:rFonts w:ascii="Verdana" w:hAnsi="Verdana"/>
          <w:color w:val="000000" w:themeColor="text1"/>
          <w:sz w:val="21"/>
          <w:szCs w:val="21"/>
        </w:rPr>
        <w:t xml:space="preserve"> </w:t>
      </w:r>
      <w:r w:rsidRPr="00513A51">
        <w:rPr>
          <w:rFonts w:ascii="Verdana" w:hAnsi="Verdana"/>
          <w:color w:val="000000" w:themeColor="text1"/>
          <w:sz w:val="21"/>
          <w:szCs w:val="21"/>
        </w:rPr>
        <w:t>comparto istruzione e ricerca, come da tabella che segue (importi lordo stato):</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Fondo dell’istituzione scolastica - art. 40, c. 4, lett. a) euro 519.180.000,00;</w:t>
      </w:r>
    </w:p>
    <w:p w:rsidR="0044775B" w:rsidRDefault="0044775B"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Attività complementari di educazione fisica - art. 40, c. 4, lett. b) euro 17.150.000,00;</w:t>
      </w:r>
    </w:p>
    <w:p w:rsidR="0044775B" w:rsidRDefault="0044775B"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Funzioni strumentali - art. 40, c. 4, lett. c) euro 45.240.000,00;</w:t>
      </w:r>
    </w:p>
    <w:p w:rsidR="0044775B" w:rsidRDefault="0044775B"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Incarichi specifici - art. 40, c. 4, lett. d) euro 29.620.000,00;</w:t>
      </w:r>
    </w:p>
    <w:p w:rsidR="0044775B" w:rsidRDefault="0044775B"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Aree a rischio - art. 40, c. 4, lett. e) euro 16.870.000,00;</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Ore eccedenti sostituzione - art. 40, c. 4, lett. f) euro 30.000.000,00;</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Valorizzazione personale scolastico - BONUS - art. 40, c. 4, lett. g) euro 142.800.000,00;</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Valorizzazione professionalità docenti - art. 40, c. 4, lett. h) euro 0,00;</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TOTALE euro 800.860.000,00.</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 xml:space="preserve">La delegazione dello Snals-Confsal ha chiesto all’Amministrazione di dare maggior informazioni sull’iter per la certificazione delle risorse del FMOF in quanto questo silenzio sull’accreditamento dei fondi </w:t>
      </w:r>
      <w:proofErr w:type="spellStart"/>
      <w:r w:rsidRPr="00513A51">
        <w:rPr>
          <w:rFonts w:ascii="Verdana" w:hAnsi="Verdana"/>
          <w:color w:val="000000" w:themeColor="text1"/>
          <w:sz w:val="21"/>
          <w:szCs w:val="21"/>
        </w:rPr>
        <w:t>a.s.</w:t>
      </w:r>
      <w:proofErr w:type="spellEnd"/>
      <w:r w:rsidRPr="00513A51">
        <w:rPr>
          <w:rFonts w:ascii="Verdana" w:hAnsi="Verdana"/>
          <w:color w:val="000000" w:themeColor="text1"/>
          <w:sz w:val="21"/>
          <w:szCs w:val="21"/>
        </w:rPr>
        <w:t xml:space="preserve"> 2022/2023 da assegnare alle scuole non è ammissibile, anche rispetto a quanto avvenuto per l’anno scolastico precedente. </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L’</w:t>
      </w:r>
      <w:r w:rsidR="0044775B">
        <w:rPr>
          <w:rFonts w:ascii="Verdana" w:hAnsi="Verdana"/>
          <w:color w:val="000000" w:themeColor="text1"/>
          <w:sz w:val="21"/>
          <w:szCs w:val="21"/>
        </w:rPr>
        <w:t>A</w:t>
      </w:r>
      <w:r w:rsidRPr="00513A51">
        <w:rPr>
          <w:rFonts w:ascii="Verdana" w:hAnsi="Verdana"/>
          <w:color w:val="000000" w:themeColor="text1"/>
          <w:sz w:val="21"/>
          <w:szCs w:val="21"/>
        </w:rPr>
        <w:t xml:space="preserve">mministrazione ha chiarito che rimane il problema della certificazione delle economie degli anni precedenti che impegnate per </w:t>
      </w:r>
      <w:proofErr w:type="spellStart"/>
      <w:r w:rsidRPr="00513A51">
        <w:rPr>
          <w:rFonts w:ascii="Verdana" w:hAnsi="Verdana"/>
          <w:color w:val="000000" w:themeColor="text1"/>
          <w:sz w:val="21"/>
          <w:szCs w:val="21"/>
        </w:rPr>
        <w:t>l’a.s.</w:t>
      </w:r>
      <w:proofErr w:type="spellEnd"/>
      <w:r w:rsidRPr="00513A51">
        <w:rPr>
          <w:rFonts w:ascii="Verdana" w:hAnsi="Verdana"/>
          <w:color w:val="000000" w:themeColor="text1"/>
          <w:sz w:val="21"/>
          <w:szCs w:val="21"/>
        </w:rPr>
        <w:t xml:space="preserve"> 2022/2023 ancora non sono disponibili poiché nonostante la procedura avviata non sono state ancora certificate e non risultano ancora visibili. E’</w:t>
      </w:r>
      <w:r w:rsidR="0044775B">
        <w:rPr>
          <w:rFonts w:ascii="Verdana" w:hAnsi="Verdana"/>
          <w:color w:val="000000" w:themeColor="text1"/>
          <w:sz w:val="21"/>
          <w:szCs w:val="21"/>
        </w:rPr>
        <w:t xml:space="preserve"> </w:t>
      </w:r>
      <w:r w:rsidRPr="00513A51">
        <w:rPr>
          <w:rFonts w:ascii="Verdana" w:hAnsi="Verdana"/>
          <w:color w:val="000000" w:themeColor="text1"/>
          <w:sz w:val="21"/>
          <w:szCs w:val="21"/>
        </w:rPr>
        <w:t xml:space="preserve">importante ripercorrere i passaggi amministrativo-contabili e le ragioni che hanno causato il grave ritardo nella definitiva approvazione del CCNI sul FMOF del 2022/2023 e di questo bisogna darne informazione alle Istituzioni scolastiche nei tempi giusti. </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 xml:space="preserve">Lo Snals-Confsal e le altre OO.SS hanno ribadito che occorre essere tempestivi per dare alle scuole la possibilità di utilizzare anche le risorse del D.L. Sud e delle altre economie (economie </w:t>
      </w:r>
      <w:proofErr w:type="spellStart"/>
      <w:r w:rsidRPr="00513A51">
        <w:rPr>
          <w:rFonts w:ascii="Verdana" w:hAnsi="Verdana"/>
          <w:color w:val="000000" w:themeColor="text1"/>
          <w:sz w:val="21"/>
          <w:szCs w:val="21"/>
        </w:rPr>
        <w:t>a.s.</w:t>
      </w:r>
      <w:proofErr w:type="spellEnd"/>
      <w:r w:rsidRPr="00513A51">
        <w:rPr>
          <w:rFonts w:ascii="Verdana" w:hAnsi="Verdana"/>
          <w:color w:val="000000" w:themeColor="text1"/>
          <w:sz w:val="21"/>
          <w:szCs w:val="21"/>
        </w:rPr>
        <w:t xml:space="preserve"> 17/18, economie estero, economie GIT, ecc.).</w:t>
      </w:r>
    </w:p>
    <w:p w:rsidR="00513A51" w:rsidRPr="00513A51"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 xml:space="preserve">Diventa altresì importante la definizione di altri aspetti connessi alle risorse finanziarie derivanti dal rinnovo contrattuale, al fine di dare orientamenti alle scuole per i contratti integrativi per una corretta gestione di alcune importanti novità (costituzione del Fondo e relativi utilizzi quali indennità di disagio degli A.T in servizio nella scuola secondaria di I grado, valorizzazione ecc.). </w:t>
      </w:r>
    </w:p>
    <w:p w:rsidR="002E7248" w:rsidRDefault="00513A51" w:rsidP="00513A51">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513A51">
        <w:rPr>
          <w:rFonts w:ascii="Verdana" w:hAnsi="Verdana"/>
          <w:color w:val="000000" w:themeColor="text1"/>
          <w:sz w:val="21"/>
          <w:szCs w:val="21"/>
        </w:rPr>
        <w:t xml:space="preserve">Al termine dell’incontro lo Snals-Confsal e le altre organizzazioni sindacali hanno sottoscritto l’ipotesi di CCNI proposta dall’Amministrazione, che ricalca sostanzialmente quella dello scorso anno scolastico, insieme ad una dichiarazione congiunta contenente l’impegno del MIM ad incontrare, dopo la firma definitiva del CCNL scuola 2019/2021, le Organizzazioni sindacali per un esame degli aspetti connessi all’applicazione del medesimo CCNL scuola attraverso l’apertura di un apposito tavolo tecnico e allo stesso tempo avviando tempestivamente le procedure di contrattazione per l’utilizzo di tutte le altre economie e delle risorse del </w:t>
      </w:r>
      <w:proofErr w:type="spellStart"/>
      <w:r w:rsidRPr="00513A51">
        <w:rPr>
          <w:rFonts w:ascii="Verdana" w:hAnsi="Verdana"/>
          <w:color w:val="000000" w:themeColor="text1"/>
          <w:sz w:val="21"/>
          <w:szCs w:val="21"/>
        </w:rPr>
        <w:t>D.L.Sud</w:t>
      </w:r>
      <w:proofErr w:type="spellEnd"/>
      <w:r w:rsidRPr="00513A51">
        <w:rPr>
          <w:rFonts w:ascii="Verdana" w:hAnsi="Verdana"/>
          <w:color w:val="000000" w:themeColor="text1"/>
          <w:sz w:val="21"/>
          <w:szCs w:val="21"/>
        </w:rPr>
        <w:t>.</w:t>
      </w:r>
    </w:p>
    <w:p w:rsidR="002E7248" w:rsidRDefault="002E7248"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44775B" w:rsidRDefault="0044775B"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44775B" w:rsidRDefault="00D24CC4"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r>
        <w:rPr>
          <w:rFonts w:ascii="Verdana" w:hAnsi="Verdana"/>
          <w:color w:val="000000" w:themeColor="text1"/>
          <w:sz w:val="21"/>
          <w:szCs w:val="21"/>
        </w:rPr>
        <w:t xml:space="preserve"> </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Pr>
          <w:rFonts w:ascii="Verdana" w:hAnsi="Verdana"/>
          <w:color w:val="000000" w:themeColor="text1"/>
          <w:sz w:val="21"/>
          <w:szCs w:val="21"/>
        </w:rPr>
        <w:t>*</w:t>
      </w:r>
      <w:r>
        <w:rPr>
          <w:rFonts w:ascii="Verdana" w:hAnsi="Verdana"/>
          <w:color w:val="000000" w:themeColor="text1"/>
          <w:sz w:val="21"/>
          <w:szCs w:val="21"/>
        </w:rPr>
        <w:tab/>
      </w:r>
      <w:r w:rsidRPr="002E7248">
        <w:rPr>
          <w:rFonts w:ascii="Verdana" w:hAnsi="Verdana"/>
          <w:color w:val="000000" w:themeColor="text1"/>
          <w:sz w:val="21"/>
          <w:szCs w:val="21"/>
          <w:u w:val="single"/>
        </w:rPr>
        <w:t>PENSIONAMENTI SCUOLA 2024 - RIUNIONE M.I.M./INPS/SINDACATI</w:t>
      </w:r>
    </w:p>
    <w:p w:rsidR="002E7248" w:rsidRPr="002E7248" w:rsidRDefault="00BD1119"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Pr>
          <w:rFonts w:ascii="Verdana" w:hAnsi="Verdana"/>
          <w:color w:val="000000" w:themeColor="text1"/>
          <w:sz w:val="21"/>
          <w:szCs w:val="21"/>
        </w:rPr>
        <w:t>S</w:t>
      </w:r>
      <w:r w:rsidR="002E7248" w:rsidRPr="002E7248">
        <w:rPr>
          <w:rFonts w:ascii="Verdana" w:hAnsi="Verdana"/>
          <w:color w:val="000000" w:themeColor="text1"/>
          <w:sz w:val="21"/>
          <w:szCs w:val="21"/>
        </w:rPr>
        <w:t>i è tenuta la riunione informativa avente come oggetto le cessazioni del personale scolastico e dirigenziale.</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 xml:space="preserve">Oggetto dell’informativa erano il D.M. sulle cessazioni dal 1.09.2024 e la relativa circolare contenente le istruzioni operative e le modalità di presentazione delle domande. </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Si è aperta la discussione, consapevoli che la circolare, non essendo intervenute modifiche del sistema previdenziale, le tipologie dei pensionamenti, sarà la copia di quella dello scorso anno con l’inserimento di quota 103 prevista dalla legge di Bilancio e per la quale era stata fissata al 28 febbraio 2023 la data di presentazione della domanda.</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Anche le date che saranno stabilite per gli adempimenti saranno molto, probabilmente corrispondenti o simili a quelle dello scorso anno.</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 xml:space="preserve">La data che verrà stabilita, entro la quale presentare le domande di cessazione dovrebbe essere il </w:t>
      </w:r>
      <w:r w:rsidRPr="002E7248">
        <w:rPr>
          <w:rFonts w:ascii="Verdana" w:hAnsi="Verdana"/>
          <w:b/>
          <w:color w:val="000000" w:themeColor="text1"/>
          <w:sz w:val="21"/>
          <w:szCs w:val="21"/>
        </w:rPr>
        <w:t>23/10/2023</w:t>
      </w:r>
      <w:r w:rsidRPr="002E7248">
        <w:rPr>
          <w:rFonts w:ascii="Verdana" w:hAnsi="Verdana"/>
          <w:color w:val="000000" w:themeColor="text1"/>
          <w:sz w:val="21"/>
          <w:szCs w:val="21"/>
        </w:rPr>
        <w:t>.</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Gli intervenuti hanno fatto presente che nelle domande di pensionamento ordinarie 2023 in Polis non era prevista la domanda cessazione per vecchiaia o anticipata per coloro che rientravano nel sistema contributivo puro</w:t>
      </w:r>
      <w:r>
        <w:rPr>
          <w:rFonts w:ascii="Verdana" w:hAnsi="Verdana"/>
          <w:color w:val="000000" w:themeColor="text1"/>
          <w:sz w:val="21"/>
          <w:szCs w:val="21"/>
        </w:rPr>
        <w:t xml:space="preserve"> </w:t>
      </w:r>
      <w:r w:rsidRPr="002E7248">
        <w:rPr>
          <w:rFonts w:ascii="Verdana" w:hAnsi="Verdana"/>
          <w:color w:val="000000" w:themeColor="text1"/>
          <w:sz w:val="21"/>
          <w:szCs w:val="21"/>
        </w:rPr>
        <w:t>(contribuzione dal 1.01.1996).</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Costoro lo scorso anno, rientrando nel contributivo puro, non hanno potuto presentare domanda in Polis (cessazione-dimissioni), in quanto non era presente la loro tipologia di pensionamento, ma hanno presentato, ritenendo di averne i requisiti, domanda di pagamento della pensione all’Inps.</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Tali pensionandi non hanno ricevuto da parte dell’Inps la certificazione del diritto a pensione, con le inevitabili conseguenze. Questo perché l’Inps verifica e certifica il diritto a pensione solo per nominativi trasmessi dal M.I.M. di chi ha presentato domanda in di cessazione con Polis. Considerato che il sistema informatico non sarà in grado di apportare modifiche a quanto già predisposto, si è aperta una discussione su come aggirare il problema.</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 xml:space="preserve">Dopo vari interventi, ha preso la parola, per lo Snals il Prof. Renzo </w:t>
      </w:r>
      <w:proofErr w:type="spellStart"/>
      <w:r w:rsidRPr="002E7248">
        <w:rPr>
          <w:rFonts w:ascii="Verdana" w:hAnsi="Verdana"/>
          <w:color w:val="000000" w:themeColor="text1"/>
          <w:sz w:val="21"/>
          <w:szCs w:val="21"/>
        </w:rPr>
        <w:t>Boninsegna</w:t>
      </w:r>
      <w:proofErr w:type="spellEnd"/>
      <w:r w:rsidRPr="002E7248">
        <w:rPr>
          <w:rFonts w:ascii="Verdana" w:hAnsi="Verdana"/>
          <w:color w:val="000000" w:themeColor="text1"/>
          <w:sz w:val="21"/>
          <w:szCs w:val="21"/>
        </w:rPr>
        <w:t xml:space="preserve"> che esponendo in modo tecnicamente dettagliata la situazione e fornendo ipotesi per la risoluzione, dialogando e confrontandosi con il dott. Luigi Pallotta (Inps), ha permesso di giungere alla seguente e auspicabile soluzione. </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Gli interessati presenteranno la domanda di cessazione in Polis, ipotizzando di avere i requisiti richiesti dalla Legge Fornero per la pensione di vecchiaia o anticipata e spuntando la c.d. clausola di salvaguardia (cioè se non raggiungo il diritto a pensione intendo rimanere in servizio).</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Questo permetterà loro di essere inseriti nell’elenco che il M.I.M. invierà all’Inps per la certificazione del diritto a pensione.</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La sede Inps competente - conto assicurativo individuale-(come riferito dal Dott. Pallotta) sulla base di informative interne emesse dall’Inps, provvederà quindi, per costoro che hanno solo contribuzione dal 1.01.1996, a verificare il raggiungimento dei requisiti come contributivo puro, che comporterà. Oltre il requisito anagrafico quello dell’importo pensionistico minimo richiesto.</w:t>
      </w:r>
    </w:p>
    <w:p w:rsid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p>
    <w:tbl>
      <w:tblPr>
        <w:tblStyle w:val="Grigliatabella"/>
        <w:tblW w:w="0" w:type="auto"/>
        <w:tblInd w:w="108" w:type="dxa"/>
        <w:tblLook w:val="04A0" w:firstRow="1" w:lastRow="0" w:firstColumn="1" w:lastColumn="0" w:noHBand="0" w:noVBand="1"/>
      </w:tblPr>
      <w:tblGrid>
        <w:gridCol w:w="1725"/>
        <w:gridCol w:w="1833"/>
        <w:gridCol w:w="1833"/>
        <w:gridCol w:w="3540"/>
      </w:tblGrid>
      <w:tr w:rsidR="002E7248" w:rsidTr="003E4926">
        <w:tc>
          <w:tcPr>
            <w:tcW w:w="1725" w:type="dxa"/>
          </w:tcPr>
          <w:p w:rsidR="002E7248" w:rsidRPr="00685F1A" w:rsidRDefault="002E7248" w:rsidP="003E4926">
            <w:pPr>
              <w:jc w:val="center"/>
              <w:rPr>
                <w:sz w:val="20"/>
                <w:szCs w:val="20"/>
              </w:rPr>
            </w:pPr>
            <w:r w:rsidRPr="00685F1A">
              <w:rPr>
                <w:sz w:val="20"/>
                <w:szCs w:val="20"/>
              </w:rPr>
              <w:t>Tipologia</w:t>
            </w:r>
          </w:p>
        </w:tc>
        <w:tc>
          <w:tcPr>
            <w:tcW w:w="1833" w:type="dxa"/>
          </w:tcPr>
          <w:p w:rsidR="002E7248" w:rsidRPr="00C27DB0" w:rsidRDefault="002E7248" w:rsidP="003E4926">
            <w:pPr>
              <w:jc w:val="center"/>
              <w:rPr>
                <w:sz w:val="20"/>
                <w:szCs w:val="20"/>
              </w:rPr>
            </w:pPr>
            <w:r w:rsidRPr="00C27DB0">
              <w:rPr>
                <w:sz w:val="20"/>
                <w:szCs w:val="20"/>
              </w:rPr>
              <w:t>Età anagrafica</w:t>
            </w:r>
          </w:p>
        </w:tc>
        <w:tc>
          <w:tcPr>
            <w:tcW w:w="1833" w:type="dxa"/>
          </w:tcPr>
          <w:p w:rsidR="002E7248" w:rsidRPr="00C27DB0" w:rsidRDefault="002E7248" w:rsidP="003E4926">
            <w:pPr>
              <w:jc w:val="center"/>
              <w:rPr>
                <w:sz w:val="20"/>
                <w:szCs w:val="20"/>
              </w:rPr>
            </w:pPr>
            <w:r w:rsidRPr="00C27DB0">
              <w:rPr>
                <w:sz w:val="20"/>
                <w:szCs w:val="20"/>
              </w:rPr>
              <w:t>Contribuzione</w:t>
            </w:r>
          </w:p>
        </w:tc>
        <w:tc>
          <w:tcPr>
            <w:tcW w:w="3540" w:type="dxa"/>
          </w:tcPr>
          <w:p w:rsidR="002E7248" w:rsidRPr="00C27DB0" w:rsidRDefault="002E7248" w:rsidP="003E4926">
            <w:pPr>
              <w:jc w:val="center"/>
              <w:rPr>
                <w:sz w:val="20"/>
                <w:szCs w:val="20"/>
              </w:rPr>
            </w:pPr>
            <w:r w:rsidRPr="00C27DB0">
              <w:rPr>
                <w:sz w:val="20"/>
                <w:szCs w:val="20"/>
              </w:rPr>
              <w:t>Importo pensione</w:t>
            </w:r>
          </w:p>
        </w:tc>
      </w:tr>
      <w:tr w:rsidR="002E7248" w:rsidTr="003E4926">
        <w:tc>
          <w:tcPr>
            <w:tcW w:w="1725" w:type="dxa"/>
            <w:vMerge w:val="restart"/>
          </w:tcPr>
          <w:p w:rsidR="002E7248" w:rsidRPr="00685F1A" w:rsidRDefault="002E7248" w:rsidP="003E4926">
            <w:pPr>
              <w:jc w:val="center"/>
              <w:rPr>
                <w:sz w:val="20"/>
                <w:szCs w:val="20"/>
              </w:rPr>
            </w:pPr>
          </w:p>
          <w:p w:rsidR="002E7248" w:rsidRPr="00685F1A" w:rsidRDefault="002E7248" w:rsidP="003E4926">
            <w:pPr>
              <w:jc w:val="center"/>
              <w:rPr>
                <w:sz w:val="20"/>
                <w:szCs w:val="20"/>
              </w:rPr>
            </w:pPr>
            <w:r w:rsidRPr="00685F1A">
              <w:rPr>
                <w:sz w:val="20"/>
                <w:szCs w:val="20"/>
              </w:rPr>
              <w:t>Pensione vecchiaia</w:t>
            </w:r>
          </w:p>
        </w:tc>
        <w:tc>
          <w:tcPr>
            <w:tcW w:w="1833" w:type="dxa"/>
          </w:tcPr>
          <w:p w:rsidR="002E7248" w:rsidRPr="00C27DB0" w:rsidRDefault="002E7248" w:rsidP="003E4926">
            <w:pPr>
              <w:jc w:val="center"/>
              <w:rPr>
                <w:sz w:val="20"/>
                <w:szCs w:val="20"/>
              </w:rPr>
            </w:pPr>
            <w:r w:rsidRPr="00C27DB0">
              <w:rPr>
                <w:sz w:val="20"/>
                <w:szCs w:val="20"/>
              </w:rPr>
              <w:t>67 anni</w:t>
            </w:r>
          </w:p>
        </w:tc>
        <w:tc>
          <w:tcPr>
            <w:tcW w:w="1833" w:type="dxa"/>
          </w:tcPr>
          <w:p w:rsidR="002E7248" w:rsidRPr="00C27DB0" w:rsidRDefault="002E7248" w:rsidP="003E4926">
            <w:pPr>
              <w:jc w:val="center"/>
              <w:rPr>
                <w:sz w:val="20"/>
                <w:szCs w:val="20"/>
              </w:rPr>
            </w:pPr>
            <w:r w:rsidRPr="00C27DB0">
              <w:rPr>
                <w:sz w:val="20"/>
                <w:szCs w:val="20"/>
              </w:rPr>
              <w:t>20 anni</w:t>
            </w:r>
          </w:p>
        </w:tc>
        <w:tc>
          <w:tcPr>
            <w:tcW w:w="3540" w:type="dxa"/>
          </w:tcPr>
          <w:p w:rsidR="002E7248" w:rsidRPr="00C27DB0" w:rsidRDefault="002E7248" w:rsidP="003E4926">
            <w:pPr>
              <w:rPr>
                <w:sz w:val="20"/>
                <w:szCs w:val="20"/>
              </w:rPr>
            </w:pPr>
            <w:r w:rsidRPr="00C27DB0">
              <w:rPr>
                <w:sz w:val="20"/>
                <w:szCs w:val="20"/>
              </w:rPr>
              <w:t>Non inferiore a 1,5 volte l’importo dell’assegno sociale</w:t>
            </w:r>
          </w:p>
        </w:tc>
      </w:tr>
      <w:tr w:rsidR="002E7248" w:rsidTr="003E4926">
        <w:tc>
          <w:tcPr>
            <w:tcW w:w="1725" w:type="dxa"/>
            <w:vMerge/>
          </w:tcPr>
          <w:p w:rsidR="002E7248" w:rsidRPr="00C27DB0" w:rsidRDefault="002E7248" w:rsidP="003E4926">
            <w:pPr>
              <w:rPr>
                <w:sz w:val="20"/>
                <w:szCs w:val="20"/>
              </w:rPr>
            </w:pPr>
          </w:p>
        </w:tc>
        <w:tc>
          <w:tcPr>
            <w:tcW w:w="1833" w:type="dxa"/>
          </w:tcPr>
          <w:p w:rsidR="002E7248" w:rsidRPr="00C27DB0" w:rsidRDefault="002E7248" w:rsidP="003E4926">
            <w:pPr>
              <w:jc w:val="center"/>
              <w:rPr>
                <w:sz w:val="20"/>
                <w:szCs w:val="20"/>
              </w:rPr>
            </w:pPr>
            <w:r w:rsidRPr="00C27DB0">
              <w:rPr>
                <w:sz w:val="20"/>
                <w:szCs w:val="20"/>
              </w:rPr>
              <w:t>71 anni</w:t>
            </w:r>
          </w:p>
        </w:tc>
        <w:tc>
          <w:tcPr>
            <w:tcW w:w="1833" w:type="dxa"/>
          </w:tcPr>
          <w:p w:rsidR="002E7248" w:rsidRPr="00C27DB0" w:rsidRDefault="002E7248" w:rsidP="003E4926">
            <w:pPr>
              <w:jc w:val="center"/>
              <w:rPr>
                <w:sz w:val="20"/>
                <w:szCs w:val="20"/>
              </w:rPr>
            </w:pPr>
            <w:r w:rsidRPr="00C27DB0">
              <w:rPr>
                <w:sz w:val="20"/>
                <w:szCs w:val="20"/>
              </w:rPr>
              <w:t>5 anni</w:t>
            </w:r>
          </w:p>
        </w:tc>
        <w:tc>
          <w:tcPr>
            <w:tcW w:w="3540" w:type="dxa"/>
          </w:tcPr>
          <w:p w:rsidR="002E7248" w:rsidRPr="00C27DB0" w:rsidRDefault="002E7248" w:rsidP="003E4926">
            <w:pPr>
              <w:rPr>
                <w:sz w:val="20"/>
                <w:szCs w:val="20"/>
              </w:rPr>
            </w:pPr>
            <w:r w:rsidRPr="00C27DB0">
              <w:rPr>
                <w:sz w:val="20"/>
                <w:szCs w:val="20"/>
              </w:rPr>
              <w:t>Qualsiasi</w:t>
            </w:r>
          </w:p>
        </w:tc>
      </w:tr>
      <w:tr w:rsidR="002E7248" w:rsidTr="003E4926">
        <w:tc>
          <w:tcPr>
            <w:tcW w:w="1725" w:type="dxa"/>
          </w:tcPr>
          <w:p w:rsidR="002E7248" w:rsidRPr="00685F1A" w:rsidRDefault="002E7248" w:rsidP="003E4926">
            <w:pPr>
              <w:jc w:val="center"/>
              <w:rPr>
                <w:sz w:val="20"/>
                <w:szCs w:val="20"/>
              </w:rPr>
            </w:pPr>
            <w:r w:rsidRPr="00685F1A">
              <w:rPr>
                <w:sz w:val="20"/>
                <w:szCs w:val="20"/>
              </w:rPr>
              <w:t>Pensione anticipata</w:t>
            </w:r>
          </w:p>
        </w:tc>
        <w:tc>
          <w:tcPr>
            <w:tcW w:w="1833" w:type="dxa"/>
          </w:tcPr>
          <w:p w:rsidR="002E7248" w:rsidRPr="00C27DB0" w:rsidRDefault="002E7248" w:rsidP="003E4926">
            <w:pPr>
              <w:jc w:val="center"/>
              <w:rPr>
                <w:sz w:val="20"/>
                <w:szCs w:val="20"/>
              </w:rPr>
            </w:pPr>
            <w:r w:rsidRPr="00C27DB0">
              <w:rPr>
                <w:sz w:val="20"/>
                <w:szCs w:val="20"/>
              </w:rPr>
              <w:t>64 anni</w:t>
            </w:r>
          </w:p>
        </w:tc>
        <w:tc>
          <w:tcPr>
            <w:tcW w:w="1833" w:type="dxa"/>
          </w:tcPr>
          <w:p w:rsidR="002E7248" w:rsidRPr="00C27DB0" w:rsidRDefault="002E7248" w:rsidP="003E4926">
            <w:pPr>
              <w:jc w:val="center"/>
              <w:rPr>
                <w:sz w:val="20"/>
                <w:szCs w:val="20"/>
              </w:rPr>
            </w:pPr>
            <w:r w:rsidRPr="00C27DB0">
              <w:rPr>
                <w:sz w:val="20"/>
                <w:szCs w:val="20"/>
              </w:rPr>
              <w:t>20 anni</w:t>
            </w:r>
          </w:p>
        </w:tc>
        <w:tc>
          <w:tcPr>
            <w:tcW w:w="3540" w:type="dxa"/>
          </w:tcPr>
          <w:p w:rsidR="002E7248" w:rsidRPr="00C27DB0" w:rsidRDefault="002E7248" w:rsidP="003E4926">
            <w:pPr>
              <w:rPr>
                <w:sz w:val="20"/>
                <w:szCs w:val="20"/>
              </w:rPr>
            </w:pPr>
            <w:r w:rsidRPr="00C27DB0">
              <w:rPr>
                <w:sz w:val="20"/>
                <w:szCs w:val="20"/>
              </w:rPr>
              <w:t>Non inferiore a 2,8 volte l’importo dell’assegno sociale</w:t>
            </w:r>
          </w:p>
        </w:tc>
      </w:tr>
    </w:tbl>
    <w:p w:rsid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Quindi la sede Inps trasmetterà alle scuole di titolarità dei pensionandi con il SIDI il relativo flusso certificando nelle note che il pensionando non raggiunge il diritto alla pensione anticipata o vecchiaia Fornero, ma alla pensione nel regime Contributivo Puro.</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In tal modo la scuola potrà con il SIDI inserire il codice di Cessazione e a liberare la cattedra/posto per le operazioni di mobilità ed immissioni in ruolo relative all’anno scolastico 2024/2025</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Nella tabella sinottica della scheda Snals n. 124-23 (1^ puntata) sono riportate le possibilità di pensionamento attualmente in vigore e i requisiti richiesti per tutte le tipologie di cessazione del personale scolastico dal 1.09.2024.</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r w:rsidRPr="002E7248">
        <w:rPr>
          <w:rFonts w:ascii="Verdana" w:hAnsi="Verdana"/>
          <w:color w:val="000000" w:themeColor="text1"/>
          <w:sz w:val="21"/>
          <w:szCs w:val="21"/>
        </w:rPr>
        <w:t>Restiamo in attesa delle comunicazioni ufficiali dal M.I.M. del D.M. pensioni a.s.2023/2024.</w:t>
      </w:r>
    </w:p>
    <w:p w:rsidR="002E7248" w:rsidRPr="002E7248" w:rsidRDefault="002E7248" w:rsidP="002E7248">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2E7248" w:rsidRDefault="002E7248" w:rsidP="009845C9">
      <w:pPr>
        <w:tabs>
          <w:tab w:val="left" w:pos="426"/>
          <w:tab w:val="left" w:pos="851"/>
          <w:tab w:val="left" w:pos="2268"/>
          <w:tab w:val="left" w:pos="5954"/>
        </w:tabs>
        <w:spacing w:after="0" w:line="240" w:lineRule="auto"/>
        <w:jc w:val="both"/>
        <w:rPr>
          <w:rFonts w:ascii="Verdana" w:hAnsi="Verdana"/>
          <w:color w:val="000000" w:themeColor="text1"/>
          <w:sz w:val="21"/>
          <w:szCs w:val="21"/>
        </w:rPr>
      </w:pPr>
    </w:p>
    <w:p w:rsidR="00994AD3" w:rsidRPr="007C1F07" w:rsidRDefault="00D24CC4" w:rsidP="001A2AE7">
      <w:pPr>
        <w:tabs>
          <w:tab w:val="left" w:pos="426"/>
          <w:tab w:val="left" w:pos="851"/>
          <w:tab w:val="left" w:pos="2268"/>
          <w:tab w:val="left" w:pos="5954"/>
        </w:tabs>
        <w:spacing w:after="0" w:line="240" w:lineRule="auto"/>
        <w:ind w:left="3969"/>
        <w:jc w:val="center"/>
        <w:rPr>
          <w:rFonts w:ascii="Verdana" w:hAnsi="Verdana"/>
          <w:color w:val="000000" w:themeColor="text1"/>
          <w:sz w:val="21"/>
          <w:szCs w:val="21"/>
        </w:rPr>
      </w:pPr>
      <w:r>
        <w:rPr>
          <w:rFonts w:ascii="Verdana" w:hAnsi="Verdana"/>
          <w:color w:val="000000" w:themeColor="text1"/>
          <w:sz w:val="21"/>
          <w:szCs w:val="21"/>
        </w:rPr>
        <w:t xml:space="preserve"> </w:t>
      </w:r>
    </w:p>
    <w:sectPr w:rsidR="00994AD3" w:rsidRPr="007C1F07" w:rsidSect="00E13435">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6E" w:rsidRDefault="009F5B6E" w:rsidP="001C0762">
      <w:pPr>
        <w:spacing w:after="0" w:line="240" w:lineRule="auto"/>
      </w:pPr>
      <w:r>
        <w:separator/>
      </w:r>
    </w:p>
  </w:endnote>
  <w:endnote w:type="continuationSeparator" w:id="0">
    <w:p w:rsidR="009F5B6E" w:rsidRDefault="009F5B6E" w:rsidP="001C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148606"/>
      <w:docPartObj>
        <w:docPartGallery w:val="Page Numbers (Bottom of Page)"/>
        <w:docPartUnique/>
      </w:docPartObj>
    </w:sdtPr>
    <w:sdtEndPr>
      <w:rPr>
        <w:rFonts w:ascii="Verdana" w:hAnsi="Verdana"/>
        <w:i/>
        <w:sz w:val="20"/>
      </w:rPr>
    </w:sdtEndPr>
    <w:sdtContent>
      <w:p w:rsidR="001C0762" w:rsidRPr="001C0762" w:rsidRDefault="001C0762">
        <w:pPr>
          <w:pStyle w:val="Pidipagina"/>
          <w:jc w:val="right"/>
          <w:rPr>
            <w:rFonts w:ascii="Verdana" w:hAnsi="Verdana"/>
            <w:i/>
            <w:sz w:val="20"/>
          </w:rPr>
        </w:pPr>
        <w:r w:rsidRPr="001C0762">
          <w:rPr>
            <w:rFonts w:ascii="Verdana" w:hAnsi="Verdana"/>
            <w:i/>
            <w:sz w:val="20"/>
          </w:rPr>
          <w:fldChar w:fldCharType="begin"/>
        </w:r>
        <w:r w:rsidRPr="001C0762">
          <w:rPr>
            <w:rFonts w:ascii="Verdana" w:hAnsi="Verdana"/>
            <w:i/>
            <w:sz w:val="20"/>
          </w:rPr>
          <w:instrText>PAGE   \* MERGEFORMAT</w:instrText>
        </w:r>
        <w:r w:rsidRPr="001C0762">
          <w:rPr>
            <w:rFonts w:ascii="Verdana" w:hAnsi="Verdana"/>
            <w:i/>
            <w:sz w:val="20"/>
          </w:rPr>
          <w:fldChar w:fldCharType="separate"/>
        </w:r>
        <w:r w:rsidR="00D24CC4">
          <w:rPr>
            <w:rFonts w:ascii="Verdana" w:hAnsi="Verdana"/>
            <w:i/>
            <w:noProof/>
            <w:sz w:val="20"/>
          </w:rPr>
          <w:t>1</w:t>
        </w:r>
        <w:r w:rsidRPr="001C0762">
          <w:rPr>
            <w:rFonts w:ascii="Verdana" w:hAnsi="Verdana"/>
            <w: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6E" w:rsidRDefault="009F5B6E" w:rsidP="001C0762">
      <w:pPr>
        <w:spacing w:after="0" w:line="240" w:lineRule="auto"/>
      </w:pPr>
      <w:r>
        <w:separator/>
      </w:r>
    </w:p>
  </w:footnote>
  <w:footnote w:type="continuationSeparator" w:id="0">
    <w:p w:rsidR="009F5B6E" w:rsidRDefault="009F5B6E" w:rsidP="001C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5E8"/>
    <w:multiLevelType w:val="hybridMultilevel"/>
    <w:tmpl w:val="C5722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4300F5"/>
    <w:multiLevelType w:val="multilevel"/>
    <w:tmpl w:val="DF94E9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1694"/>
    <w:multiLevelType w:val="multilevel"/>
    <w:tmpl w:val="C6E03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21B14"/>
    <w:multiLevelType w:val="multilevel"/>
    <w:tmpl w:val="1B6C6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5261D"/>
    <w:multiLevelType w:val="multilevel"/>
    <w:tmpl w:val="C6122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270C4"/>
    <w:multiLevelType w:val="multilevel"/>
    <w:tmpl w:val="BAF82E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B64740"/>
    <w:multiLevelType w:val="multilevel"/>
    <w:tmpl w:val="36560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610A21"/>
    <w:multiLevelType w:val="multilevel"/>
    <w:tmpl w:val="82A8DC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7F2349"/>
    <w:multiLevelType w:val="multilevel"/>
    <w:tmpl w:val="B5DC2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214E96"/>
    <w:multiLevelType w:val="multilevel"/>
    <w:tmpl w:val="3D4048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5460414F"/>
    <w:multiLevelType w:val="multilevel"/>
    <w:tmpl w:val="5AB2F3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457A27"/>
    <w:multiLevelType w:val="hybridMultilevel"/>
    <w:tmpl w:val="077C6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110082"/>
    <w:multiLevelType w:val="multilevel"/>
    <w:tmpl w:val="33EAFD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CB1FB8"/>
    <w:multiLevelType w:val="multilevel"/>
    <w:tmpl w:val="316A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4"/>
  </w:num>
  <w:num w:numId="4">
    <w:abstractNumId w:val="3"/>
  </w:num>
  <w:num w:numId="5">
    <w:abstractNumId w:val="6"/>
  </w:num>
  <w:num w:numId="6">
    <w:abstractNumId w:val="2"/>
  </w:num>
  <w:num w:numId="7">
    <w:abstractNumId w:val="12"/>
  </w:num>
  <w:num w:numId="8">
    <w:abstractNumId w:val="5"/>
  </w:num>
  <w:num w:numId="9">
    <w:abstractNumId w:val="1"/>
  </w:num>
  <w:num w:numId="10">
    <w:abstractNumId w:val="7"/>
  </w:num>
  <w:num w:numId="11">
    <w:abstractNumId w:val="10"/>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E7"/>
    <w:rsid w:val="00003896"/>
    <w:rsid w:val="00007C51"/>
    <w:rsid w:val="0001575D"/>
    <w:rsid w:val="000208E3"/>
    <w:rsid w:val="00032974"/>
    <w:rsid w:val="000333F0"/>
    <w:rsid w:val="000445A6"/>
    <w:rsid w:val="00052847"/>
    <w:rsid w:val="00052D06"/>
    <w:rsid w:val="0006081E"/>
    <w:rsid w:val="00072A11"/>
    <w:rsid w:val="00090B11"/>
    <w:rsid w:val="00094792"/>
    <w:rsid w:val="000A1081"/>
    <w:rsid w:val="000B5FEB"/>
    <w:rsid w:val="000C4033"/>
    <w:rsid w:val="000C6056"/>
    <w:rsid w:val="001014E1"/>
    <w:rsid w:val="001071E5"/>
    <w:rsid w:val="00124854"/>
    <w:rsid w:val="0013162E"/>
    <w:rsid w:val="00153B4F"/>
    <w:rsid w:val="001659DC"/>
    <w:rsid w:val="00167202"/>
    <w:rsid w:val="00170D5B"/>
    <w:rsid w:val="00176B12"/>
    <w:rsid w:val="00185BA6"/>
    <w:rsid w:val="00195A65"/>
    <w:rsid w:val="001A2AE7"/>
    <w:rsid w:val="001A481A"/>
    <w:rsid w:val="001A6A84"/>
    <w:rsid w:val="001B393E"/>
    <w:rsid w:val="001C0762"/>
    <w:rsid w:val="001C595B"/>
    <w:rsid w:val="001F32D1"/>
    <w:rsid w:val="00200F26"/>
    <w:rsid w:val="00205387"/>
    <w:rsid w:val="00211ADB"/>
    <w:rsid w:val="002128C4"/>
    <w:rsid w:val="00212F60"/>
    <w:rsid w:val="00217B39"/>
    <w:rsid w:val="00223323"/>
    <w:rsid w:val="002248B9"/>
    <w:rsid w:val="00227D0A"/>
    <w:rsid w:val="0023042F"/>
    <w:rsid w:val="00230926"/>
    <w:rsid w:val="00244CEA"/>
    <w:rsid w:val="00246A35"/>
    <w:rsid w:val="002470E9"/>
    <w:rsid w:val="00254010"/>
    <w:rsid w:val="002625C7"/>
    <w:rsid w:val="00262E58"/>
    <w:rsid w:val="0028176E"/>
    <w:rsid w:val="0028780E"/>
    <w:rsid w:val="00292C19"/>
    <w:rsid w:val="00295957"/>
    <w:rsid w:val="002A5E75"/>
    <w:rsid w:val="002C0DC7"/>
    <w:rsid w:val="002D1528"/>
    <w:rsid w:val="002D3239"/>
    <w:rsid w:val="002D38DB"/>
    <w:rsid w:val="002D697F"/>
    <w:rsid w:val="002D7D7D"/>
    <w:rsid w:val="002E6008"/>
    <w:rsid w:val="002E7248"/>
    <w:rsid w:val="00300252"/>
    <w:rsid w:val="00303032"/>
    <w:rsid w:val="00311673"/>
    <w:rsid w:val="00323B2D"/>
    <w:rsid w:val="0034213F"/>
    <w:rsid w:val="00364A1C"/>
    <w:rsid w:val="00392C58"/>
    <w:rsid w:val="003D2FBF"/>
    <w:rsid w:val="003D632C"/>
    <w:rsid w:val="003F166F"/>
    <w:rsid w:val="00410F5E"/>
    <w:rsid w:val="004120D3"/>
    <w:rsid w:val="00415852"/>
    <w:rsid w:val="0042180C"/>
    <w:rsid w:val="00424D4E"/>
    <w:rsid w:val="00437E64"/>
    <w:rsid w:val="00444FDC"/>
    <w:rsid w:val="0044775B"/>
    <w:rsid w:val="00453942"/>
    <w:rsid w:val="00462EE9"/>
    <w:rsid w:val="00464FEE"/>
    <w:rsid w:val="00476D60"/>
    <w:rsid w:val="00477CBA"/>
    <w:rsid w:val="004821F5"/>
    <w:rsid w:val="00484324"/>
    <w:rsid w:val="004A2299"/>
    <w:rsid w:val="004A53B2"/>
    <w:rsid w:val="004B447B"/>
    <w:rsid w:val="004C1565"/>
    <w:rsid w:val="004D2010"/>
    <w:rsid w:val="004D29FD"/>
    <w:rsid w:val="004E2A82"/>
    <w:rsid w:val="004F05AC"/>
    <w:rsid w:val="004F7FC0"/>
    <w:rsid w:val="00511E2B"/>
    <w:rsid w:val="00513A51"/>
    <w:rsid w:val="005140E7"/>
    <w:rsid w:val="0051623D"/>
    <w:rsid w:val="00520BFD"/>
    <w:rsid w:val="005247D8"/>
    <w:rsid w:val="00526679"/>
    <w:rsid w:val="005270BD"/>
    <w:rsid w:val="0052713A"/>
    <w:rsid w:val="005469C5"/>
    <w:rsid w:val="00553365"/>
    <w:rsid w:val="00556E90"/>
    <w:rsid w:val="00561249"/>
    <w:rsid w:val="00567E03"/>
    <w:rsid w:val="00571433"/>
    <w:rsid w:val="00583905"/>
    <w:rsid w:val="00584D1F"/>
    <w:rsid w:val="00585D22"/>
    <w:rsid w:val="00596D2F"/>
    <w:rsid w:val="005A4517"/>
    <w:rsid w:val="005C0212"/>
    <w:rsid w:val="005C411A"/>
    <w:rsid w:val="005C4A76"/>
    <w:rsid w:val="005D41F4"/>
    <w:rsid w:val="005E7DC1"/>
    <w:rsid w:val="005F3853"/>
    <w:rsid w:val="00600AB5"/>
    <w:rsid w:val="006010E1"/>
    <w:rsid w:val="00610318"/>
    <w:rsid w:val="00615129"/>
    <w:rsid w:val="006164ED"/>
    <w:rsid w:val="00620379"/>
    <w:rsid w:val="00633047"/>
    <w:rsid w:val="006331B9"/>
    <w:rsid w:val="00643788"/>
    <w:rsid w:val="00651117"/>
    <w:rsid w:val="0066022E"/>
    <w:rsid w:val="00666B6B"/>
    <w:rsid w:val="006717A4"/>
    <w:rsid w:val="00682FF3"/>
    <w:rsid w:val="006855FB"/>
    <w:rsid w:val="006918C6"/>
    <w:rsid w:val="00693F34"/>
    <w:rsid w:val="006B7D1E"/>
    <w:rsid w:val="006C144C"/>
    <w:rsid w:val="006C4422"/>
    <w:rsid w:val="006C57EA"/>
    <w:rsid w:val="006D11A6"/>
    <w:rsid w:val="006D1601"/>
    <w:rsid w:val="006D7A96"/>
    <w:rsid w:val="006F647E"/>
    <w:rsid w:val="00710486"/>
    <w:rsid w:val="00720A3C"/>
    <w:rsid w:val="007215DA"/>
    <w:rsid w:val="00724BE6"/>
    <w:rsid w:val="00733CF9"/>
    <w:rsid w:val="00734AC2"/>
    <w:rsid w:val="00736D32"/>
    <w:rsid w:val="00746347"/>
    <w:rsid w:val="007517A7"/>
    <w:rsid w:val="00754BA4"/>
    <w:rsid w:val="00762539"/>
    <w:rsid w:val="00765684"/>
    <w:rsid w:val="007767EF"/>
    <w:rsid w:val="00776802"/>
    <w:rsid w:val="007825CD"/>
    <w:rsid w:val="0078472C"/>
    <w:rsid w:val="00785EBE"/>
    <w:rsid w:val="00790875"/>
    <w:rsid w:val="007963CC"/>
    <w:rsid w:val="007A6CEE"/>
    <w:rsid w:val="007A7F30"/>
    <w:rsid w:val="007B42CF"/>
    <w:rsid w:val="007B6E5D"/>
    <w:rsid w:val="007C1A6A"/>
    <w:rsid w:val="007C1F07"/>
    <w:rsid w:val="007C4290"/>
    <w:rsid w:val="007D1B0F"/>
    <w:rsid w:val="007D2012"/>
    <w:rsid w:val="007D5490"/>
    <w:rsid w:val="007E324B"/>
    <w:rsid w:val="007F4F5E"/>
    <w:rsid w:val="007F61DC"/>
    <w:rsid w:val="007F7F8A"/>
    <w:rsid w:val="00802C37"/>
    <w:rsid w:val="00816463"/>
    <w:rsid w:val="00825943"/>
    <w:rsid w:val="008300DE"/>
    <w:rsid w:val="00830837"/>
    <w:rsid w:val="0083177B"/>
    <w:rsid w:val="00831E85"/>
    <w:rsid w:val="008335DB"/>
    <w:rsid w:val="00835BEE"/>
    <w:rsid w:val="008414B0"/>
    <w:rsid w:val="0084223E"/>
    <w:rsid w:val="008422E4"/>
    <w:rsid w:val="0084304B"/>
    <w:rsid w:val="00846AF5"/>
    <w:rsid w:val="00852A28"/>
    <w:rsid w:val="00856C57"/>
    <w:rsid w:val="00857432"/>
    <w:rsid w:val="00857AA1"/>
    <w:rsid w:val="00874986"/>
    <w:rsid w:val="0087498C"/>
    <w:rsid w:val="008820D9"/>
    <w:rsid w:val="008973BA"/>
    <w:rsid w:val="008A56A3"/>
    <w:rsid w:val="008B20A1"/>
    <w:rsid w:val="008B7FB3"/>
    <w:rsid w:val="008C5626"/>
    <w:rsid w:val="008C66D2"/>
    <w:rsid w:val="008D0B6A"/>
    <w:rsid w:val="008E0687"/>
    <w:rsid w:val="008E28FB"/>
    <w:rsid w:val="008E5C34"/>
    <w:rsid w:val="008F1FE2"/>
    <w:rsid w:val="00905812"/>
    <w:rsid w:val="00907A90"/>
    <w:rsid w:val="00921A5A"/>
    <w:rsid w:val="009354EC"/>
    <w:rsid w:val="0095216B"/>
    <w:rsid w:val="00953FC1"/>
    <w:rsid w:val="009756E2"/>
    <w:rsid w:val="0097792F"/>
    <w:rsid w:val="00980C85"/>
    <w:rsid w:val="00981FBC"/>
    <w:rsid w:val="009845C9"/>
    <w:rsid w:val="00994AD3"/>
    <w:rsid w:val="00996390"/>
    <w:rsid w:val="009C37B9"/>
    <w:rsid w:val="009C72F4"/>
    <w:rsid w:val="009D7EF1"/>
    <w:rsid w:val="009E13CF"/>
    <w:rsid w:val="009E3E3F"/>
    <w:rsid w:val="009F5B6E"/>
    <w:rsid w:val="00A00097"/>
    <w:rsid w:val="00A02CF4"/>
    <w:rsid w:val="00A069E1"/>
    <w:rsid w:val="00A11238"/>
    <w:rsid w:val="00A14FBC"/>
    <w:rsid w:val="00A169FD"/>
    <w:rsid w:val="00A20800"/>
    <w:rsid w:val="00A30559"/>
    <w:rsid w:val="00A30BE4"/>
    <w:rsid w:val="00A4234C"/>
    <w:rsid w:val="00A47012"/>
    <w:rsid w:val="00A51B0A"/>
    <w:rsid w:val="00A52361"/>
    <w:rsid w:val="00A53810"/>
    <w:rsid w:val="00A54CDC"/>
    <w:rsid w:val="00A554E8"/>
    <w:rsid w:val="00A62427"/>
    <w:rsid w:val="00A64628"/>
    <w:rsid w:val="00A75707"/>
    <w:rsid w:val="00A75FA3"/>
    <w:rsid w:val="00A76A75"/>
    <w:rsid w:val="00A825A7"/>
    <w:rsid w:val="00A833E8"/>
    <w:rsid w:val="00A836B4"/>
    <w:rsid w:val="00A90D23"/>
    <w:rsid w:val="00A965BA"/>
    <w:rsid w:val="00AA1109"/>
    <w:rsid w:val="00AA68A1"/>
    <w:rsid w:val="00AA7248"/>
    <w:rsid w:val="00AB73DF"/>
    <w:rsid w:val="00AC28CE"/>
    <w:rsid w:val="00AD50DA"/>
    <w:rsid w:val="00AD5207"/>
    <w:rsid w:val="00AD77B7"/>
    <w:rsid w:val="00AE1307"/>
    <w:rsid w:val="00AE419E"/>
    <w:rsid w:val="00AF268C"/>
    <w:rsid w:val="00AF39D8"/>
    <w:rsid w:val="00AF4026"/>
    <w:rsid w:val="00AF5C4F"/>
    <w:rsid w:val="00B02D34"/>
    <w:rsid w:val="00B16210"/>
    <w:rsid w:val="00B163BE"/>
    <w:rsid w:val="00B17980"/>
    <w:rsid w:val="00B17A94"/>
    <w:rsid w:val="00B230AB"/>
    <w:rsid w:val="00B24F43"/>
    <w:rsid w:val="00B25FF7"/>
    <w:rsid w:val="00B357AD"/>
    <w:rsid w:val="00B37BE6"/>
    <w:rsid w:val="00B471C9"/>
    <w:rsid w:val="00B5328A"/>
    <w:rsid w:val="00B572F9"/>
    <w:rsid w:val="00B6154B"/>
    <w:rsid w:val="00B64A8D"/>
    <w:rsid w:val="00B71CE9"/>
    <w:rsid w:val="00B726C6"/>
    <w:rsid w:val="00B734B6"/>
    <w:rsid w:val="00B966F9"/>
    <w:rsid w:val="00B97A4E"/>
    <w:rsid w:val="00BA2312"/>
    <w:rsid w:val="00BD1119"/>
    <w:rsid w:val="00BD4D99"/>
    <w:rsid w:val="00BE2DB3"/>
    <w:rsid w:val="00BE4240"/>
    <w:rsid w:val="00BE4382"/>
    <w:rsid w:val="00BF4603"/>
    <w:rsid w:val="00BF6576"/>
    <w:rsid w:val="00C05A35"/>
    <w:rsid w:val="00C12D15"/>
    <w:rsid w:val="00C32D51"/>
    <w:rsid w:val="00C36BDE"/>
    <w:rsid w:val="00C4093B"/>
    <w:rsid w:val="00C57391"/>
    <w:rsid w:val="00C704EA"/>
    <w:rsid w:val="00C760D3"/>
    <w:rsid w:val="00C7651C"/>
    <w:rsid w:val="00C829AF"/>
    <w:rsid w:val="00C82A66"/>
    <w:rsid w:val="00C91264"/>
    <w:rsid w:val="00CA1032"/>
    <w:rsid w:val="00CA6845"/>
    <w:rsid w:val="00CA7E6E"/>
    <w:rsid w:val="00CC4EEB"/>
    <w:rsid w:val="00CD2FB1"/>
    <w:rsid w:val="00CD492C"/>
    <w:rsid w:val="00CD4DD7"/>
    <w:rsid w:val="00CD6574"/>
    <w:rsid w:val="00CE5C37"/>
    <w:rsid w:val="00D0462D"/>
    <w:rsid w:val="00D110D6"/>
    <w:rsid w:val="00D17127"/>
    <w:rsid w:val="00D17A6B"/>
    <w:rsid w:val="00D21699"/>
    <w:rsid w:val="00D24CC4"/>
    <w:rsid w:val="00D3072F"/>
    <w:rsid w:val="00D37906"/>
    <w:rsid w:val="00D46B69"/>
    <w:rsid w:val="00D547BB"/>
    <w:rsid w:val="00D57B4B"/>
    <w:rsid w:val="00D66E81"/>
    <w:rsid w:val="00D74AE6"/>
    <w:rsid w:val="00D822FA"/>
    <w:rsid w:val="00D9106A"/>
    <w:rsid w:val="00D952C7"/>
    <w:rsid w:val="00DC0F52"/>
    <w:rsid w:val="00DC31A7"/>
    <w:rsid w:val="00DC399B"/>
    <w:rsid w:val="00DC60CA"/>
    <w:rsid w:val="00DE1664"/>
    <w:rsid w:val="00DE3762"/>
    <w:rsid w:val="00DF1D3B"/>
    <w:rsid w:val="00E01205"/>
    <w:rsid w:val="00E12CF3"/>
    <w:rsid w:val="00E13435"/>
    <w:rsid w:val="00E177B6"/>
    <w:rsid w:val="00E25950"/>
    <w:rsid w:val="00E356BB"/>
    <w:rsid w:val="00E36FB1"/>
    <w:rsid w:val="00E41026"/>
    <w:rsid w:val="00E61FDA"/>
    <w:rsid w:val="00E70EBF"/>
    <w:rsid w:val="00E712F9"/>
    <w:rsid w:val="00E71551"/>
    <w:rsid w:val="00E75B7E"/>
    <w:rsid w:val="00E82B9A"/>
    <w:rsid w:val="00E82FAA"/>
    <w:rsid w:val="00E83A8F"/>
    <w:rsid w:val="00E84250"/>
    <w:rsid w:val="00E87150"/>
    <w:rsid w:val="00E957EF"/>
    <w:rsid w:val="00E9728E"/>
    <w:rsid w:val="00EA462B"/>
    <w:rsid w:val="00EB47D3"/>
    <w:rsid w:val="00EB4965"/>
    <w:rsid w:val="00EC0C3B"/>
    <w:rsid w:val="00EC2BF7"/>
    <w:rsid w:val="00ED492F"/>
    <w:rsid w:val="00ED66DE"/>
    <w:rsid w:val="00EE0D53"/>
    <w:rsid w:val="00EE7DE1"/>
    <w:rsid w:val="00EF2D85"/>
    <w:rsid w:val="00F07353"/>
    <w:rsid w:val="00F1799E"/>
    <w:rsid w:val="00F41942"/>
    <w:rsid w:val="00F429C4"/>
    <w:rsid w:val="00F557E0"/>
    <w:rsid w:val="00F61233"/>
    <w:rsid w:val="00F70B14"/>
    <w:rsid w:val="00F747EB"/>
    <w:rsid w:val="00F75318"/>
    <w:rsid w:val="00F80E6D"/>
    <w:rsid w:val="00F956BF"/>
    <w:rsid w:val="00F965A5"/>
    <w:rsid w:val="00F96C43"/>
    <w:rsid w:val="00F96DE9"/>
    <w:rsid w:val="00F97277"/>
    <w:rsid w:val="00FA5F8E"/>
    <w:rsid w:val="00FB7600"/>
    <w:rsid w:val="00FC2A40"/>
    <w:rsid w:val="00FC44C6"/>
    <w:rsid w:val="00FD4A04"/>
    <w:rsid w:val="00FD6E42"/>
    <w:rsid w:val="00FE2CCB"/>
    <w:rsid w:val="00FF2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70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7600"/>
    <w:rPr>
      <w:color w:val="0563C1" w:themeColor="hyperlink"/>
      <w:u w:val="single"/>
    </w:rPr>
  </w:style>
  <w:style w:type="character" w:customStyle="1" w:styleId="UnresolvedMention">
    <w:name w:val="Unresolved Mention"/>
    <w:basedOn w:val="Carpredefinitoparagrafo"/>
    <w:uiPriority w:val="99"/>
    <w:semiHidden/>
    <w:unhideWhenUsed/>
    <w:rsid w:val="00FB7600"/>
    <w:rPr>
      <w:color w:val="605E5C"/>
      <w:shd w:val="clear" w:color="auto" w:fill="E1DFDD"/>
    </w:rPr>
  </w:style>
  <w:style w:type="character" w:styleId="Collegamentovisitato">
    <w:name w:val="FollowedHyperlink"/>
    <w:basedOn w:val="Carpredefinitoparagrafo"/>
    <w:uiPriority w:val="99"/>
    <w:semiHidden/>
    <w:unhideWhenUsed/>
    <w:rsid w:val="000C6056"/>
    <w:rPr>
      <w:color w:val="954F72" w:themeColor="followedHyperlink"/>
      <w:u w:val="single"/>
    </w:rPr>
  </w:style>
  <w:style w:type="paragraph" w:styleId="Intestazione">
    <w:name w:val="header"/>
    <w:basedOn w:val="Normale"/>
    <w:link w:val="IntestazioneCarattere"/>
    <w:unhideWhenUsed/>
    <w:rsid w:val="001C07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C0762"/>
  </w:style>
  <w:style w:type="paragraph" w:styleId="Pidipagina">
    <w:name w:val="footer"/>
    <w:basedOn w:val="Normale"/>
    <w:link w:val="PidipaginaCarattere"/>
    <w:uiPriority w:val="99"/>
    <w:unhideWhenUsed/>
    <w:rsid w:val="001C07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762"/>
  </w:style>
  <w:style w:type="paragraph" w:styleId="Paragrafoelenco">
    <w:name w:val="List Paragraph"/>
    <w:basedOn w:val="Normale"/>
    <w:uiPriority w:val="34"/>
    <w:qFormat/>
    <w:rsid w:val="00A825A7"/>
    <w:pPr>
      <w:ind w:left="720"/>
      <w:contextualSpacing/>
    </w:pPr>
  </w:style>
  <w:style w:type="character" w:customStyle="1" w:styleId="Titolo1Carattere">
    <w:name w:val="Titolo 1 Carattere"/>
    <w:basedOn w:val="Carpredefinitoparagrafo"/>
    <w:link w:val="Titolo1"/>
    <w:uiPriority w:val="9"/>
    <w:rsid w:val="00E70EBF"/>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E70EBF"/>
  </w:style>
  <w:style w:type="paragraph" w:styleId="NormaleWeb">
    <w:name w:val="Normal (Web)"/>
    <w:basedOn w:val="Normale"/>
    <w:uiPriority w:val="99"/>
    <w:unhideWhenUsed/>
    <w:rsid w:val="00E70E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311673"/>
    <w:rPr>
      <w:b/>
      <w:bCs/>
    </w:rPr>
  </w:style>
  <w:style w:type="table" w:styleId="Grigliatabella">
    <w:name w:val="Table Grid"/>
    <w:basedOn w:val="Tabellanormale"/>
    <w:uiPriority w:val="59"/>
    <w:rsid w:val="0029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61FDA"/>
    <w:rPr>
      <w:i/>
      <w:iCs/>
    </w:rPr>
  </w:style>
  <w:style w:type="paragraph" w:customStyle="1" w:styleId="Standard">
    <w:name w:val="Standard"/>
    <w:rsid w:val="00F1799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F1799E"/>
    <w:pPr>
      <w:widowControl/>
      <w:spacing w:after="120" w:line="276" w:lineRule="auto"/>
    </w:pPr>
  </w:style>
  <w:style w:type="character" w:customStyle="1" w:styleId="StrongEmphasis">
    <w:name w:val="Strong Emphasis"/>
    <w:rsid w:val="00F1799E"/>
    <w:rPr>
      <w:b/>
      <w:bCs/>
    </w:rPr>
  </w:style>
  <w:style w:type="paragraph" w:customStyle="1" w:styleId="Default">
    <w:name w:val="Default"/>
    <w:rsid w:val="005F3853"/>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5271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71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70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7600"/>
    <w:rPr>
      <w:color w:val="0563C1" w:themeColor="hyperlink"/>
      <w:u w:val="single"/>
    </w:rPr>
  </w:style>
  <w:style w:type="character" w:customStyle="1" w:styleId="UnresolvedMention">
    <w:name w:val="Unresolved Mention"/>
    <w:basedOn w:val="Carpredefinitoparagrafo"/>
    <w:uiPriority w:val="99"/>
    <w:semiHidden/>
    <w:unhideWhenUsed/>
    <w:rsid w:val="00FB7600"/>
    <w:rPr>
      <w:color w:val="605E5C"/>
      <w:shd w:val="clear" w:color="auto" w:fill="E1DFDD"/>
    </w:rPr>
  </w:style>
  <w:style w:type="character" w:styleId="Collegamentovisitato">
    <w:name w:val="FollowedHyperlink"/>
    <w:basedOn w:val="Carpredefinitoparagrafo"/>
    <w:uiPriority w:val="99"/>
    <w:semiHidden/>
    <w:unhideWhenUsed/>
    <w:rsid w:val="000C6056"/>
    <w:rPr>
      <w:color w:val="954F72" w:themeColor="followedHyperlink"/>
      <w:u w:val="single"/>
    </w:rPr>
  </w:style>
  <w:style w:type="paragraph" w:styleId="Intestazione">
    <w:name w:val="header"/>
    <w:basedOn w:val="Normale"/>
    <w:link w:val="IntestazioneCarattere"/>
    <w:unhideWhenUsed/>
    <w:rsid w:val="001C07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C0762"/>
  </w:style>
  <w:style w:type="paragraph" w:styleId="Pidipagina">
    <w:name w:val="footer"/>
    <w:basedOn w:val="Normale"/>
    <w:link w:val="PidipaginaCarattere"/>
    <w:uiPriority w:val="99"/>
    <w:unhideWhenUsed/>
    <w:rsid w:val="001C07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762"/>
  </w:style>
  <w:style w:type="paragraph" w:styleId="Paragrafoelenco">
    <w:name w:val="List Paragraph"/>
    <w:basedOn w:val="Normale"/>
    <w:uiPriority w:val="34"/>
    <w:qFormat/>
    <w:rsid w:val="00A825A7"/>
    <w:pPr>
      <w:ind w:left="720"/>
      <w:contextualSpacing/>
    </w:pPr>
  </w:style>
  <w:style w:type="character" w:customStyle="1" w:styleId="Titolo1Carattere">
    <w:name w:val="Titolo 1 Carattere"/>
    <w:basedOn w:val="Carpredefinitoparagrafo"/>
    <w:link w:val="Titolo1"/>
    <w:uiPriority w:val="9"/>
    <w:rsid w:val="00E70EBF"/>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E70EBF"/>
  </w:style>
  <w:style w:type="paragraph" w:styleId="NormaleWeb">
    <w:name w:val="Normal (Web)"/>
    <w:basedOn w:val="Normale"/>
    <w:uiPriority w:val="99"/>
    <w:unhideWhenUsed/>
    <w:rsid w:val="00E70E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311673"/>
    <w:rPr>
      <w:b/>
      <w:bCs/>
    </w:rPr>
  </w:style>
  <w:style w:type="table" w:styleId="Grigliatabella">
    <w:name w:val="Table Grid"/>
    <w:basedOn w:val="Tabellanormale"/>
    <w:uiPriority w:val="59"/>
    <w:rsid w:val="0029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61FDA"/>
    <w:rPr>
      <w:i/>
      <w:iCs/>
    </w:rPr>
  </w:style>
  <w:style w:type="paragraph" w:customStyle="1" w:styleId="Standard">
    <w:name w:val="Standard"/>
    <w:rsid w:val="00F1799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F1799E"/>
    <w:pPr>
      <w:widowControl/>
      <w:spacing w:after="120" w:line="276" w:lineRule="auto"/>
    </w:pPr>
  </w:style>
  <w:style w:type="character" w:customStyle="1" w:styleId="StrongEmphasis">
    <w:name w:val="Strong Emphasis"/>
    <w:rsid w:val="00F1799E"/>
    <w:rPr>
      <w:b/>
      <w:bCs/>
    </w:rPr>
  </w:style>
  <w:style w:type="paragraph" w:customStyle="1" w:styleId="Default">
    <w:name w:val="Default"/>
    <w:rsid w:val="005F3853"/>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5271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7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0433">
      <w:bodyDiv w:val="1"/>
      <w:marLeft w:val="0"/>
      <w:marRight w:val="0"/>
      <w:marTop w:val="0"/>
      <w:marBottom w:val="0"/>
      <w:divBdr>
        <w:top w:val="none" w:sz="0" w:space="0" w:color="auto"/>
        <w:left w:val="none" w:sz="0" w:space="0" w:color="auto"/>
        <w:bottom w:val="none" w:sz="0" w:space="0" w:color="auto"/>
        <w:right w:val="none" w:sz="0" w:space="0" w:color="auto"/>
      </w:divBdr>
    </w:div>
    <w:div w:id="1517040458">
      <w:bodyDiv w:val="1"/>
      <w:marLeft w:val="0"/>
      <w:marRight w:val="0"/>
      <w:marTop w:val="0"/>
      <w:marBottom w:val="0"/>
      <w:divBdr>
        <w:top w:val="none" w:sz="0" w:space="0" w:color="auto"/>
        <w:left w:val="none" w:sz="0" w:space="0" w:color="auto"/>
        <w:bottom w:val="none" w:sz="0" w:space="0" w:color="auto"/>
        <w:right w:val="none" w:sz="0" w:space="0" w:color="auto"/>
      </w:divBdr>
    </w:div>
    <w:div w:id="1780223424">
      <w:bodyDiv w:val="1"/>
      <w:marLeft w:val="0"/>
      <w:marRight w:val="0"/>
      <w:marTop w:val="0"/>
      <w:marBottom w:val="0"/>
      <w:divBdr>
        <w:top w:val="none" w:sz="0" w:space="0" w:color="auto"/>
        <w:left w:val="none" w:sz="0" w:space="0" w:color="auto"/>
        <w:bottom w:val="none" w:sz="0" w:space="0" w:color="auto"/>
        <w:right w:val="none" w:sz="0" w:space="0" w:color="auto"/>
      </w:divBdr>
    </w:div>
    <w:div w:id="1793551994">
      <w:bodyDiv w:val="1"/>
      <w:marLeft w:val="0"/>
      <w:marRight w:val="0"/>
      <w:marTop w:val="0"/>
      <w:marBottom w:val="0"/>
      <w:divBdr>
        <w:top w:val="none" w:sz="0" w:space="0" w:color="auto"/>
        <w:left w:val="none" w:sz="0" w:space="0" w:color="auto"/>
        <w:bottom w:val="none" w:sz="0" w:space="0" w:color="auto"/>
        <w:right w:val="none" w:sz="0" w:space="0" w:color="auto"/>
      </w:divBdr>
    </w:div>
    <w:div w:id="1803888124">
      <w:bodyDiv w:val="1"/>
      <w:marLeft w:val="0"/>
      <w:marRight w:val="0"/>
      <w:marTop w:val="0"/>
      <w:marBottom w:val="0"/>
      <w:divBdr>
        <w:top w:val="none" w:sz="0" w:space="0" w:color="auto"/>
        <w:left w:val="none" w:sz="0" w:space="0" w:color="auto"/>
        <w:bottom w:val="none" w:sz="0" w:space="0" w:color="auto"/>
        <w:right w:val="none" w:sz="0" w:space="0" w:color="auto"/>
      </w:divBdr>
    </w:div>
    <w:div w:id="1826971544">
      <w:bodyDiv w:val="1"/>
      <w:marLeft w:val="0"/>
      <w:marRight w:val="0"/>
      <w:marTop w:val="0"/>
      <w:marBottom w:val="0"/>
      <w:divBdr>
        <w:top w:val="none" w:sz="0" w:space="0" w:color="auto"/>
        <w:left w:val="none" w:sz="0" w:space="0" w:color="auto"/>
        <w:bottom w:val="none" w:sz="0" w:space="0" w:color="auto"/>
        <w:right w:val="none" w:sz="0" w:space="0" w:color="auto"/>
      </w:divBdr>
      <w:divsChild>
        <w:div w:id="231355058">
          <w:marLeft w:val="0"/>
          <w:marRight w:val="0"/>
          <w:marTop w:val="0"/>
          <w:marBottom w:val="0"/>
          <w:divBdr>
            <w:top w:val="none" w:sz="0" w:space="0" w:color="auto"/>
            <w:left w:val="none" w:sz="0" w:space="0" w:color="auto"/>
            <w:bottom w:val="none" w:sz="0" w:space="0" w:color="auto"/>
            <w:right w:val="none" w:sz="0" w:space="0" w:color="auto"/>
          </w:divBdr>
          <w:divsChild>
            <w:div w:id="632561596">
              <w:marLeft w:val="0"/>
              <w:marRight w:val="0"/>
              <w:marTop w:val="0"/>
              <w:marBottom w:val="0"/>
              <w:divBdr>
                <w:top w:val="none" w:sz="0" w:space="0" w:color="auto"/>
                <w:left w:val="none" w:sz="0" w:space="0" w:color="auto"/>
                <w:bottom w:val="none" w:sz="0" w:space="0" w:color="auto"/>
                <w:right w:val="none" w:sz="0" w:space="0" w:color="auto"/>
              </w:divBdr>
              <w:divsChild>
                <w:div w:id="11044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9798">
      <w:bodyDiv w:val="1"/>
      <w:marLeft w:val="0"/>
      <w:marRight w:val="0"/>
      <w:marTop w:val="0"/>
      <w:marBottom w:val="0"/>
      <w:divBdr>
        <w:top w:val="none" w:sz="0" w:space="0" w:color="auto"/>
        <w:left w:val="none" w:sz="0" w:space="0" w:color="auto"/>
        <w:bottom w:val="none" w:sz="0" w:space="0" w:color="auto"/>
        <w:right w:val="none" w:sz="0" w:space="0" w:color="auto"/>
      </w:divBdr>
      <w:divsChild>
        <w:div w:id="280235034">
          <w:marLeft w:val="0"/>
          <w:marRight w:val="0"/>
          <w:marTop w:val="0"/>
          <w:marBottom w:val="240"/>
          <w:divBdr>
            <w:top w:val="none" w:sz="0" w:space="0" w:color="auto"/>
            <w:left w:val="none" w:sz="0" w:space="0" w:color="auto"/>
            <w:bottom w:val="none" w:sz="0" w:space="0" w:color="auto"/>
            <w:right w:val="none" w:sz="0" w:space="0" w:color="auto"/>
          </w:divBdr>
        </w:div>
        <w:div w:id="189803835">
          <w:marLeft w:val="0"/>
          <w:marRight w:val="0"/>
          <w:marTop w:val="0"/>
          <w:marBottom w:val="120"/>
          <w:divBdr>
            <w:top w:val="none" w:sz="0" w:space="0" w:color="auto"/>
            <w:left w:val="none" w:sz="0" w:space="0" w:color="auto"/>
            <w:bottom w:val="none" w:sz="0" w:space="0" w:color="auto"/>
            <w:right w:val="none" w:sz="0" w:space="0" w:color="auto"/>
          </w:divBdr>
          <w:divsChild>
            <w:div w:id="1990019126">
              <w:marLeft w:val="24"/>
              <w:marRight w:val="24"/>
              <w:marTop w:val="24"/>
              <w:marBottom w:val="24"/>
              <w:divBdr>
                <w:top w:val="none" w:sz="0" w:space="4" w:color="3B5998"/>
                <w:left w:val="none" w:sz="0" w:space="5" w:color="3B5998"/>
                <w:bottom w:val="none" w:sz="0" w:space="4" w:color="3B5998"/>
                <w:right w:val="none" w:sz="0" w:space="7" w:color="3B5998"/>
              </w:divBdr>
            </w:div>
            <w:div w:id="1576934443">
              <w:marLeft w:val="24"/>
              <w:marRight w:val="24"/>
              <w:marTop w:val="24"/>
              <w:marBottom w:val="24"/>
              <w:divBdr>
                <w:top w:val="none" w:sz="0" w:space="4" w:color="55ACEE"/>
                <w:left w:val="none" w:sz="0" w:space="5" w:color="55ACEE"/>
                <w:bottom w:val="none" w:sz="0" w:space="4" w:color="55ACEE"/>
                <w:right w:val="none" w:sz="0" w:space="7" w:color="55ACEE"/>
              </w:divBdr>
            </w:div>
            <w:div w:id="200676565">
              <w:marLeft w:val="24"/>
              <w:marRight w:val="24"/>
              <w:marTop w:val="24"/>
              <w:marBottom w:val="24"/>
              <w:divBdr>
                <w:top w:val="none" w:sz="0" w:space="0" w:color="auto"/>
                <w:left w:val="none" w:sz="0" w:space="0" w:color="auto"/>
                <w:bottom w:val="none" w:sz="0" w:space="0" w:color="auto"/>
                <w:right w:val="none" w:sz="0" w:space="0" w:color="auto"/>
              </w:divBdr>
            </w:div>
            <w:div w:id="1409771938">
              <w:marLeft w:val="24"/>
              <w:marRight w:val="24"/>
              <w:marTop w:val="24"/>
              <w:marBottom w:val="24"/>
              <w:divBdr>
                <w:top w:val="none" w:sz="0" w:space="4" w:color="777777"/>
                <w:left w:val="none" w:sz="0" w:space="5" w:color="777777"/>
                <w:bottom w:val="none" w:sz="0" w:space="4" w:color="777777"/>
                <w:right w:val="none" w:sz="0" w:space="7" w:color="777777"/>
              </w:divBdr>
            </w:div>
          </w:divsChild>
        </w:div>
        <w:div w:id="14878172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1114</Words>
  <Characters>6356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dc:creator>
  <cp:keywords/>
  <dc:description/>
  <cp:lastModifiedBy>Valentina</cp:lastModifiedBy>
  <cp:revision>16</cp:revision>
  <cp:lastPrinted>2023-09-11T15:13:00Z</cp:lastPrinted>
  <dcterms:created xsi:type="dcterms:W3CDTF">2023-09-08T08:33:00Z</dcterms:created>
  <dcterms:modified xsi:type="dcterms:W3CDTF">2023-09-11T15:20:00Z</dcterms:modified>
</cp:coreProperties>
</file>