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FBF" w:rsidRPr="00C47FBF" w:rsidRDefault="00C47FBF" w:rsidP="00C47FBF">
      <w:pPr>
        <w:spacing w:line="240" w:lineRule="auto"/>
        <w:outlineLvl w:val="2"/>
        <w:rPr>
          <w:rFonts w:ascii="titillium_bold" w:eastAsia="Times New Roman" w:hAnsi="titillium_bold" w:cs="Helvetica"/>
          <w:color w:val="1C2024"/>
          <w:spacing w:val="-1"/>
          <w:sz w:val="54"/>
          <w:szCs w:val="54"/>
          <w:lang w:eastAsia="it-IT"/>
        </w:rPr>
      </w:pPr>
      <w:r w:rsidRPr="00C47FBF">
        <w:rPr>
          <w:rFonts w:ascii="titillium_bold" w:eastAsia="Times New Roman" w:hAnsi="titillium_bold" w:cs="Helvetica"/>
          <w:color w:val="1C2024"/>
          <w:spacing w:val="-1"/>
          <w:sz w:val="54"/>
          <w:szCs w:val="54"/>
          <w:lang w:eastAsia="it-IT"/>
        </w:rPr>
        <w:t>Mobilità, sul sito del Ministero è disponibile la sezione dedicata con tutti i termini per la partecipazione</w:t>
      </w:r>
    </w:p>
    <w:p w:rsidR="00C47FBF" w:rsidRPr="00C47FBF" w:rsidRDefault="00371B47" w:rsidP="00C47FBF">
      <w:pPr>
        <w:spacing w:line="240" w:lineRule="auto"/>
        <w:rPr>
          <w:rFonts w:ascii="Titillium Web" w:eastAsia="Times New Roman" w:hAnsi="Titillium Web" w:cs="Helvetica"/>
          <w:color w:val="333333"/>
          <w:sz w:val="27"/>
          <w:szCs w:val="27"/>
          <w:lang w:eastAsia="it-IT"/>
        </w:rPr>
      </w:pPr>
      <w:hyperlink r:id="rId4" w:history="1">
        <w:r w:rsidRPr="00371B47">
          <w:rPr>
            <w:rFonts w:ascii="Titillium Web" w:eastAsia="Times New Roman" w:hAnsi="Titillium Web" w:cs="Helvetica"/>
            <w:color w:val="0066CC"/>
            <w:sz w:val="27"/>
            <w:szCs w:val="27"/>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www.miur.gov.it/web/guest/-/mobilita-sul-sito-del-ministero-e-disponibile-la-sezione-dedicata-con-tutti-i-termini-per-la-partecipazione" style="width:24pt;height:24pt" o:button="t"/>
          </w:pict>
        </w:r>
      </w:hyperlink>
    </w:p>
    <w:p w:rsidR="00C47FBF" w:rsidRPr="00C47FBF" w:rsidRDefault="00C47FBF" w:rsidP="00C47FBF">
      <w:pPr>
        <w:spacing w:after="375" w:line="240" w:lineRule="auto"/>
        <w:rPr>
          <w:rFonts w:ascii="Titillium Web" w:eastAsia="Times New Roman" w:hAnsi="Titillium Web" w:cs="Helvetica"/>
          <w:color w:val="333333"/>
          <w:sz w:val="27"/>
          <w:szCs w:val="27"/>
          <w:lang w:eastAsia="it-IT"/>
        </w:rPr>
      </w:pPr>
      <w:r w:rsidRPr="00C47FBF">
        <w:rPr>
          <w:rFonts w:ascii="Titillium Web" w:eastAsia="Times New Roman" w:hAnsi="Titillium Web" w:cs="Helvetica"/>
          <w:color w:val="333333"/>
          <w:sz w:val="27"/>
          <w:szCs w:val="27"/>
          <w:lang w:eastAsia="it-IT"/>
        </w:rPr>
        <w:t>È disponibile, sul sito del Ministero dell’Istruzione, la sezione dedicata alla mobilità del personale docente, educativo e ATA per l’anno scolastico 2022/23. La sezione contiene informazioni utili su quando e come presentare la domanda. Secondo l’ordinanza ministeriale, pubblicata il 25 febbraio 2022, i termini di presentazione della domanda per il personale docente vanno dal </w:t>
      </w:r>
      <w:r w:rsidRPr="00C47FBF">
        <w:rPr>
          <w:rFonts w:ascii="titillium_semibold" w:eastAsia="Times New Roman" w:hAnsi="titillium_semibold" w:cs="Helvetica"/>
          <w:color w:val="333333"/>
          <w:sz w:val="27"/>
          <w:szCs w:val="27"/>
          <w:lang w:eastAsia="it-IT"/>
        </w:rPr>
        <w:t>28 febbraio</w:t>
      </w:r>
      <w:r w:rsidRPr="00C47FBF">
        <w:rPr>
          <w:rFonts w:ascii="Titillium Web" w:eastAsia="Times New Roman" w:hAnsi="Titillium Web" w:cs="Helvetica"/>
          <w:color w:val="333333"/>
          <w:sz w:val="27"/>
          <w:szCs w:val="27"/>
          <w:lang w:eastAsia="it-IT"/>
        </w:rPr>
        <w:t> al </w:t>
      </w:r>
      <w:r w:rsidRPr="00C47FBF">
        <w:rPr>
          <w:rFonts w:ascii="titillium_semibold" w:eastAsia="Times New Roman" w:hAnsi="titillium_semibold" w:cs="Helvetica"/>
          <w:color w:val="333333"/>
          <w:sz w:val="27"/>
          <w:szCs w:val="27"/>
          <w:lang w:eastAsia="it-IT"/>
        </w:rPr>
        <w:t>15 marzo</w:t>
      </w:r>
      <w:r w:rsidRPr="00C47FBF">
        <w:rPr>
          <w:rFonts w:ascii="Titillium Web" w:eastAsia="Times New Roman" w:hAnsi="Titillium Web" w:cs="Helvetica"/>
          <w:color w:val="333333"/>
          <w:sz w:val="27"/>
          <w:szCs w:val="27"/>
          <w:lang w:eastAsia="it-IT"/>
        </w:rPr>
        <w:t> 2022. Per il personale educativo, i termini di presentazione della domanda vanno dall’</w:t>
      </w:r>
      <w:r w:rsidRPr="00C47FBF">
        <w:rPr>
          <w:rFonts w:ascii="titillium_semibold" w:eastAsia="Times New Roman" w:hAnsi="titillium_semibold" w:cs="Helvetica"/>
          <w:color w:val="333333"/>
          <w:sz w:val="27"/>
          <w:szCs w:val="27"/>
          <w:lang w:eastAsia="it-IT"/>
        </w:rPr>
        <w:t>1 marzo </w:t>
      </w:r>
      <w:r w:rsidRPr="00C47FBF">
        <w:rPr>
          <w:rFonts w:ascii="Titillium Web" w:eastAsia="Times New Roman" w:hAnsi="Titillium Web" w:cs="Helvetica"/>
          <w:color w:val="333333"/>
          <w:sz w:val="27"/>
          <w:szCs w:val="27"/>
          <w:lang w:eastAsia="it-IT"/>
        </w:rPr>
        <w:t>al </w:t>
      </w:r>
      <w:r w:rsidRPr="00C47FBF">
        <w:rPr>
          <w:rFonts w:ascii="titillium_semibold" w:eastAsia="Times New Roman" w:hAnsi="titillium_semibold" w:cs="Helvetica"/>
          <w:color w:val="333333"/>
          <w:sz w:val="27"/>
          <w:szCs w:val="27"/>
          <w:lang w:eastAsia="it-IT"/>
        </w:rPr>
        <w:t>21 marzo 2022</w:t>
      </w:r>
      <w:r w:rsidRPr="00C47FBF">
        <w:rPr>
          <w:rFonts w:ascii="Titillium Web" w:eastAsia="Times New Roman" w:hAnsi="Titillium Web" w:cs="Helvetica"/>
          <w:color w:val="333333"/>
          <w:sz w:val="27"/>
          <w:szCs w:val="27"/>
          <w:lang w:eastAsia="it-IT"/>
        </w:rPr>
        <w:t>. Per il personale ATA, la domanda va presentata dal</w:t>
      </w:r>
      <w:r w:rsidRPr="00C47FBF">
        <w:rPr>
          <w:rFonts w:ascii="titillium_semibold" w:eastAsia="Times New Roman" w:hAnsi="titillium_semibold" w:cs="Helvetica"/>
          <w:color w:val="333333"/>
          <w:sz w:val="27"/>
          <w:szCs w:val="27"/>
          <w:lang w:eastAsia="it-IT"/>
        </w:rPr>
        <w:t> 9 marzo</w:t>
      </w:r>
      <w:r w:rsidRPr="00C47FBF">
        <w:rPr>
          <w:rFonts w:ascii="Titillium Web" w:eastAsia="Times New Roman" w:hAnsi="Titillium Web" w:cs="Helvetica"/>
          <w:color w:val="333333"/>
          <w:sz w:val="27"/>
          <w:szCs w:val="27"/>
          <w:lang w:eastAsia="it-IT"/>
        </w:rPr>
        <w:t xml:space="preserve"> al</w:t>
      </w:r>
      <w:r w:rsidRPr="00C47FBF">
        <w:rPr>
          <w:rFonts w:ascii="titillium_semibold" w:eastAsia="Times New Roman" w:hAnsi="titillium_semibold" w:cs="Helvetica"/>
          <w:color w:val="333333"/>
          <w:sz w:val="27"/>
          <w:szCs w:val="27"/>
          <w:lang w:eastAsia="it-IT"/>
        </w:rPr>
        <w:t xml:space="preserve"> 25 marzo 2022. </w:t>
      </w:r>
      <w:r w:rsidRPr="00C47FBF">
        <w:rPr>
          <w:rFonts w:ascii="Titillium Web" w:eastAsia="Times New Roman" w:hAnsi="Titillium Web" w:cs="Helvetica"/>
          <w:color w:val="333333"/>
          <w:sz w:val="27"/>
          <w:szCs w:val="27"/>
          <w:lang w:eastAsia="it-IT"/>
        </w:rPr>
        <w:t>Per i docenti di Religione cattolica, per cui è prevista un’ordinanza ad hoc, la domanda va presentata dal </w:t>
      </w:r>
      <w:r w:rsidRPr="00C47FBF">
        <w:rPr>
          <w:rFonts w:ascii="titillium_semibold" w:eastAsia="Times New Roman" w:hAnsi="titillium_semibold" w:cs="Helvetica"/>
          <w:color w:val="333333"/>
          <w:sz w:val="27"/>
          <w:szCs w:val="27"/>
          <w:lang w:eastAsia="it-IT"/>
        </w:rPr>
        <w:t>21 marzo </w:t>
      </w:r>
      <w:r w:rsidRPr="00C47FBF">
        <w:rPr>
          <w:rFonts w:ascii="Titillium Web" w:eastAsia="Times New Roman" w:hAnsi="Titillium Web" w:cs="Helvetica"/>
          <w:color w:val="333333"/>
          <w:sz w:val="27"/>
          <w:szCs w:val="27"/>
          <w:lang w:eastAsia="it-IT"/>
        </w:rPr>
        <w:t>al </w:t>
      </w:r>
      <w:r w:rsidRPr="00C47FBF">
        <w:rPr>
          <w:rFonts w:ascii="titillium_semibold" w:eastAsia="Times New Roman" w:hAnsi="titillium_semibold" w:cs="Helvetica"/>
          <w:color w:val="333333"/>
          <w:sz w:val="27"/>
          <w:szCs w:val="27"/>
          <w:lang w:eastAsia="it-IT"/>
        </w:rPr>
        <w:t>15 aprile 2022.</w:t>
      </w:r>
      <w:r w:rsidRPr="00C47FBF">
        <w:rPr>
          <w:rFonts w:ascii="Titillium Web" w:eastAsia="Times New Roman" w:hAnsi="Titillium Web" w:cs="Helvetica"/>
          <w:color w:val="333333"/>
          <w:sz w:val="27"/>
          <w:szCs w:val="27"/>
          <w:lang w:eastAsia="it-IT"/>
        </w:rPr>
        <w:t>  </w:t>
      </w:r>
      <w:r w:rsidRPr="00C47FBF">
        <w:rPr>
          <w:rFonts w:ascii="titillium_semibold" w:eastAsia="Times New Roman" w:hAnsi="titillium_semibold" w:cs="Helvetica"/>
          <w:color w:val="333333"/>
          <w:sz w:val="27"/>
          <w:szCs w:val="27"/>
          <w:lang w:eastAsia="it-IT"/>
        </w:rPr>
        <w:t> </w:t>
      </w:r>
    </w:p>
    <w:p w:rsidR="00C47FBF" w:rsidRPr="00C47FBF" w:rsidRDefault="00C47FBF" w:rsidP="00C47FBF">
      <w:pPr>
        <w:spacing w:after="375" w:line="240" w:lineRule="auto"/>
        <w:rPr>
          <w:rFonts w:ascii="Titillium Web" w:eastAsia="Times New Roman" w:hAnsi="Titillium Web" w:cs="Helvetica"/>
          <w:color w:val="333333"/>
          <w:sz w:val="27"/>
          <w:szCs w:val="27"/>
          <w:lang w:eastAsia="it-IT"/>
        </w:rPr>
      </w:pPr>
      <w:r w:rsidRPr="00C47FBF">
        <w:rPr>
          <w:rFonts w:ascii="Titillium Web" w:eastAsia="Times New Roman" w:hAnsi="Titillium Web" w:cs="Helvetica"/>
          <w:color w:val="333333"/>
          <w:sz w:val="27"/>
          <w:szCs w:val="27"/>
          <w:lang w:eastAsia="it-IT"/>
        </w:rPr>
        <w:t>Gli esiti della mobilità per il personale docente saranno pubblicati il </w:t>
      </w:r>
      <w:r w:rsidRPr="00C47FBF">
        <w:rPr>
          <w:rFonts w:ascii="titillium_semibold" w:eastAsia="Times New Roman" w:hAnsi="titillium_semibold" w:cs="Helvetica"/>
          <w:color w:val="333333"/>
          <w:sz w:val="27"/>
          <w:szCs w:val="27"/>
          <w:lang w:eastAsia="it-IT"/>
        </w:rPr>
        <w:t>17 maggio 2022</w:t>
      </w:r>
      <w:r w:rsidRPr="00C47FBF">
        <w:rPr>
          <w:rFonts w:ascii="Titillium Web" w:eastAsia="Times New Roman" w:hAnsi="Titillium Web" w:cs="Helvetica"/>
          <w:color w:val="333333"/>
          <w:sz w:val="27"/>
          <w:szCs w:val="27"/>
          <w:lang w:eastAsia="it-IT"/>
        </w:rPr>
        <w:t>. Quelli per il personale educativo saranno pubblicati il </w:t>
      </w:r>
      <w:r w:rsidRPr="00C47FBF">
        <w:rPr>
          <w:rFonts w:ascii="titillium_semibold" w:eastAsia="Times New Roman" w:hAnsi="titillium_semibold" w:cs="Helvetica"/>
          <w:color w:val="333333"/>
          <w:sz w:val="27"/>
          <w:szCs w:val="27"/>
          <w:lang w:eastAsia="it-IT"/>
        </w:rPr>
        <w:t>17 maggio 2022</w:t>
      </w:r>
      <w:r w:rsidRPr="00C47FBF">
        <w:rPr>
          <w:rFonts w:ascii="Titillium Web" w:eastAsia="Times New Roman" w:hAnsi="Titillium Web" w:cs="Helvetica"/>
          <w:color w:val="333333"/>
          <w:sz w:val="27"/>
          <w:szCs w:val="27"/>
          <w:lang w:eastAsia="it-IT"/>
        </w:rPr>
        <w:t xml:space="preserve">. Per il personale ATA saranno pubblicati il </w:t>
      </w:r>
      <w:r w:rsidRPr="00C47FBF">
        <w:rPr>
          <w:rFonts w:ascii="titillium_semibold" w:eastAsia="Times New Roman" w:hAnsi="titillium_semibold" w:cs="Helvetica"/>
          <w:color w:val="333333"/>
          <w:sz w:val="27"/>
          <w:szCs w:val="27"/>
          <w:lang w:eastAsia="it-IT"/>
        </w:rPr>
        <w:t>27 maggio 2022</w:t>
      </w:r>
      <w:r w:rsidRPr="00C47FBF">
        <w:rPr>
          <w:rFonts w:ascii="Titillium Web" w:eastAsia="Times New Roman" w:hAnsi="Titillium Web" w:cs="Helvetica"/>
          <w:color w:val="333333"/>
          <w:sz w:val="27"/>
          <w:szCs w:val="27"/>
          <w:lang w:eastAsia="it-IT"/>
        </w:rPr>
        <w:t>. Infine, gli esiti della mobilità per i docenti di Religione cattolica saranno pubblicati il </w:t>
      </w:r>
      <w:r w:rsidRPr="00C47FBF">
        <w:rPr>
          <w:rFonts w:ascii="titillium_semibold" w:eastAsia="Times New Roman" w:hAnsi="titillium_semibold" w:cs="Helvetica"/>
          <w:color w:val="333333"/>
          <w:sz w:val="27"/>
          <w:szCs w:val="27"/>
          <w:lang w:eastAsia="it-IT"/>
        </w:rPr>
        <w:t>30 maggio 2022</w:t>
      </w:r>
      <w:r w:rsidRPr="00C47FBF">
        <w:rPr>
          <w:rFonts w:ascii="Titillium Web" w:eastAsia="Times New Roman" w:hAnsi="Titillium Web" w:cs="Helvetica"/>
          <w:color w:val="333333"/>
          <w:sz w:val="27"/>
          <w:szCs w:val="27"/>
          <w:lang w:eastAsia="it-IT"/>
        </w:rPr>
        <w:t xml:space="preserve">.    </w:t>
      </w:r>
    </w:p>
    <w:p w:rsidR="00C7402D" w:rsidRDefault="00C47FBF" w:rsidP="00C47FBF">
      <w:pPr>
        <w:spacing w:line="240" w:lineRule="auto"/>
        <w:rPr>
          <w:rFonts w:ascii="Titillium Web" w:eastAsia="Times New Roman" w:hAnsi="Titillium Web" w:cs="Helvetica"/>
          <w:color w:val="333333"/>
          <w:sz w:val="27"/>
          <w:szCs w:val="27"/>
          <w:lang w:eastAsia="it-IT"/>
        </w:rPr>
      </w:pPr>
      <w:r w:rsidRPr="00C47FBF">
        <w:rPr>
          <w:rFonts w:ascii="Titillium Web" w:eastAsia="Times New Roman" w:hAnsi="Titillium Web" w:cs="Helvetica"/>
          <w:color w:val="333333"/>
          <w:sz w:val="27"/>
          <w:szCs w:val="27"/>
          <w:lang w:eastAsia="it-IT"/>
        </w:rPr>
        <w:t xml:space="preserve">La domanda va compilata e inoltrata sul portale del Ministero dell’Istruzione, nella sezione dedicata alle Istanze online.  Per accedere a Istanze online occorre essere registrati all’area riservata del Portale ministeriale (si può accedere anche con le credenziali SPID). All’interno della sezione sono disponibili, inoltre, guide per accompagnare l’utente nella compilazione della domanda. </w:t>
      </w:r>
    </w:p>
    <w:p w:rsidR="00C47FBF" w:rsidRPr="00C47FBF" w:rsidRDefault="00C7402D" w:rsidP="00C47FBF">
      <w:pPr>
        <w:spacing w:line="240" w:lineRule="auto"/>
        <w:rPr>
          <w:rFonts w:ascii="Titillium Web" w:eastAsia="Times New Roman" w:hAnsi="Titillium Web" w:cs="Helvetica"/>
          <w:color w:val="333333"/>
          <w:sz w:val="27"/>
          <w:szCs w:val="27"/>
          <w:lang w:eastAsia="it-IT"/>
        </w:rPr>
      </w:pPr>
      <w:r>
        <w:rPr>
          <w:color w:val="0000FF"/>
          <w:sz w:val="18"/>
          <w:szCs w:val="18"/>
        </w:rPr>
        <w:t>https://www.miur.gov.it/mobilità-2022-2023</w:t>
      </w:r>
      <w:r w:rsidR="00C47FBF" w:rsidRPr="00C47FBF">
        <w:rPr>
          <w:rFonts w:ascii="Titillium Web" w:eastAsia="Times New Roman" w:hAnsi="Titillium Web" w:cs="Helvetica"/>
          <w:color w:val="333333"/>
          <w:sz w:val="27"/>
          <w:szCs w:val="27"/>
          <w:lang w:eastAsia="it-IT"/>
        </w:rPr>
        <w:t xml:space="preserve">   </w:t>
      </w:r>
    </w:p>
    <w:p w:rsidR="00D665D8" w:rsidRDefault="00D665D8"/>
    <w:sectPr w:rsidR="00D665D8" w:rsidSect="00D665D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titillium_bold">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itillium Web">
    <w:altName w:val="Times New Roman"/>
    <w:charset w:val="00"/>
    <w:family w:val="auto"/>
    <w:pitch w:val="default"/>
    <w:sig w:usb0="00000000" w:usb1="00000000" w:usb2="00000000" w:usb3="00000000" w:csb0="00000000" w:csb1="00000000"/>
  </w:font>
  <w:font w:name="titillium_semi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47FBF"/>
    <w:rsid w:val="002103AF"/>
    <w:rsid w:val="00371B47"/>
    <w:rsid w:val="00BD69D0"/>
    <w:rsid w:val="00C47FBF"/>
    <w:rsid w:val="00C7402D"/>
    <w:rsid w:val="00D57FB5"/>
    <w:rsid w:val="00D665D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665D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47F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7FBF"/>
    <w:rPr>
      <w:rFonts w:ascii="Tahoma" w:hAnsi="Tahoma" w:cs="Tahoma"/>
      <w:sz w:val="16"/>
      <w:szCs w:val="16"/>
    </w:rPr>
  </w:style>
  <w:style w:type="paragraph" w:customStyle="1" w:styleId="Default">
    <w:name w:val="Default"/>
    <w:rsid w:val="00BD69D0"/>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745685186">
      <w:bodyDiv w:val="1"/>
      <w:marLeft w:val="0"/>
      <w:marRight w:val="0"/>
      <w:marTop w:val="0"/>
      <w:marBottom w:val="0"/>
      <w:divBdr>
        <w:top w:val="none" w:sz="0" w:space="0" w:color="auto"/>
        <w:left w:val="none" w:sz="0" w:space="0" w:color="auto"/>
        <w:bottom w:val="none" w:sz="0" w:space="0" w:color="auto"/>
        <w:right w:val="none" w:sz="0" w:space="0" w:color="auto"/>
      </w:divBdr>
      <w:divsChild>
        <w:div w:id="260770776">
          <w:marLeft w:val="0"/>
          <w:marRight w:val="0"/>
          <w:marTop w:val="0"/>
          <w:marBottom w:val="0"/>
          <w:divBdr>
            <w:top w:val="none" w:sz="0" w:space="0" w:color="auto"/>
            <w:left w:val="none" w:sz="0" w:space="0" w:color="auto"/>
            <w:bottom w:val="none" w:sz="0" w:space="0" w:color="auto"/>
            <w:right w:val="none" w:sz="0" w:space="0" w:color="auto"/>
          </w:divBdr>
          <w:divsChild>
            <w:div w:id="1184518503">
              <w:marLeft w:val="0"/>
              <w:marRight w:val="0"/>
              <w:marTop w:val="0"/>
              <w:marBottom w:val="0"/>
              <w:divBdr>
                <w:top w:val="none" w:sz="0" w:space="0" w:color="auto"/>
                <w:left w:val="none" w:sz="0" w:space="0" w:color="auto"/>
                <w:bottom w:val="none" w:sz="0" w:space="0" w:color="auto"/>
                <w:right w:val="none" w:sz="0" w:space="0" w:color="auto"/>
              </w:divBdr>
              <w:divsChild>
                <w:div w:id="1396665210">
                  <w:marLeft w:val="0"/>
                  <w:marRight w:val="0"/>
                  <w:marTop w:val="0"/>
                  <w:marBottom w:val="0"/>
                  <w:divBdr>
                    <w:top w:val="none" w:sz="0" w:space="0" w:color="auto"/>
                    <w:left w:val="none" w:sz="0" w:space="0" w:color="auto"/>
                    <w:bottom w:val="none" w:sz="0" w:space="0" w:color="auto"/>
                    <w:right w:val="none" w:sz="0" w:space="0" w:color="auto"/>
                  </w:divBdr>
                  <w:divsChild>
                    <w:div w:id="491944173">
                      <w:marLeft w:val="0"/>
                      <w:marRight w:val="0"/>
                      <w:marTop w:val="0"/>
                      <w:marBottom w:val="0"/>
                      <w:divBdr>
                        <w:top w:val="none" w:sz="0" w:space="0" w:color="auto"/>
                        <w:left w:val="none" w:sz="0" w:space="0" w:color="auto"/>
                        <w:bottom w:val="none" w:sz="0" w:space="0" w:color="auto"/>
                        <w:right w:val="none" w:sz="0" w:space="0" w:color="auto"/>
                      </w:divBdr>
                      <w:divsChild>
                        <w:div w:id="750741892">
                          <w:marLeft w:val="-225"/>
                          <w:marRight w:val="-225"/>
                          <w:marTop w:val="0"/>
                          <w:marBottom w:val="0"/>
                          <w:divBdr>
                            <w:top w:val="none" w:sz="0" w:space="0" w:color="auto"/>
                            <w:left w:val="none" w:sz="0" w:space="0" w:color="auto"/>
                            <w:bottom w:val="none" w:sz="0" w:space="0" w:color="auto"/>
                            <w:right w:val="none" w:sz="0" w:space="0" w:color="auto"/>
                          </w:divBdr>
                          <w:divsChild>
                            <w:div w:id="1055009472">
                              <w:marLeft w:val="0"/>
                              <w:marRight w:val="0"/>
                              <w:marTop w:val="0"/>
                              <w:marBottom w:val="0"/>
                              <w:divBdr>
                                <w:top w:val="none" w:sz="0" w:space="0" w:color="auto"/>
                                <w:left w:val="none" w:sz="0" w:space="0" w:color="auto"/>
                                <w:bottom w:val="none" w:sz="0" w:space="0" w:color="auto"/>
                                <w:right w:val="none" w:sz="0" w:space="0" w:color="auto"/>
                              </w:divBdr>
                              <w:divsChild>
                                <w:div w:id="1165391648">
                                  <w:marLeft w:val="0"/>
                                  <w:marRight w:val="0"/>
                                  <w:marTop w:val="0"/>
                                  <w:marBottom w:val="0"/>
                                  <w:divBdr>
                                    <w:top w:val="none" w:sz="0" w:space="0" w:color="auto"/>
                                    <w:left w:val="none" w:sz="0" w:space="0" w:color="auto"/>
                                    <w:bottom w:val="none" w:sz="0" w:space="0" w:color="auto"/>
                                    <w:right w:val="none" w:sz="0" w:space="0" w:color="auto"/>
                                  </w:divBdr>
                                  <w:divsChild>
                                    <w:div w:id="1773090998">
                                      <w:marLeft w:val="0"/>
                                      <w:marRight w:val="0"/>
                                      <w:marTop w:val="0"/>
                                      <w:marBottom w:val="0"/>
                                      <w:divBdr>
                                        <w:top w:val="none" w:sz="0" w:space="0" w:color="auto"/>
                                        <w:left w:val="none" w:sz="0" w:space="0" w:color="auto"/>
                                        <w:bottom w:val="none" w:sz="0" w:space="0" w:color="auto"/>
                                        <w:right w:val="none" w:sz="0" w:space="0" w:color="auto"/>
                                      </w:divBdr>
                                      <w:divsChild>
                                        <w:div w:id="1307316208">
                                          <w:marLeft w:val="0"/>
                                          <w:marRight w:val="0"/>
                                          <w:marTop w:val="0"/>
                                          <w:marBottom w:val="0"/>
                                          <w:divBdr>
                                            <w:top w:val="none" w:sz="0" w:space="0" w:color="auto"/>
                                            <w:left w:val="none" w:sz="0" w:space="0" w:color="auto"/>
                                            <w:bottom w:val="none" w:sz="0" w:space="0" w:color="auto"/>
                                            <w:right w:val="none" w:sz="0" w:space="0" w:color="auto"/>
                                          </w:divBdr>
                                          <w:divsChild>
                                            <w:div w:id="36470768">
                                              <w:marLeft w:val="0"/>
                                              <w:marRight w:val="0"/>
                                              <w:marTop w:val="0"/>
                                              <w:marBottom w:val="0"/>
                                              <w:divBdr>
                                                <w:top w:val="none" w:sz="0" w:space="0" w:color="auto"/>
                                                <w:left w:val="none" w:sz="0" w:space="0" w:color="auto"/>
                                                <w:bottom w:val="none" w:sz="0" w:space="0" w:color="auto"/>
                                                <w:right w:val="none" w:sz="0" w:space="0" w:color="auto"/>
                                              </w:divBdr>
                                              <w:divsChild>
                                                <w:div w:id="1587762716">
                                                  <w:marLeft w:val="0"/>
                                                  <w:marRight w:val="0"/>
                                                  <w:marTop w:val="0"/>
                                                  <w:marBottom w:val="0"/>
                                                  <w:divBdr>
                                                    <w:top w:val="none" w:sz="0" w:space="0" w:color="auto"/>
                                                    <w:left w:val="none" w:sz="0" w:space="0" w:color="auto"/>
                                                    <w:bottom w:val="none" w:sz="0" w:space="0" w:color="auto"/>
                                                    <w:right w:val="none" w:sz="0" w:space="0" w:color="auto"/>
                                                  </w:divBdr>
                                                  <w:divsChild>
                                                    <w:div w:id="13459275">
                                                      <w:marLeft w:val="0"/>
                                                      <w:marRight w:val="0"/>
                                                      <w:marTop w:val="0"/>
                                                      <w:marBottom w:val="0"/>
                                                      <w:divBdr>
                                                        <w:top w:val="none" w:sz="0" w:space="0" w:color="auto"/>
                                                        <w:left w:val="none" w:sz="0" w:space="0" w:color="auto"/>
                                                        <w:bottom w:val="none" w:sz="0" w:space="0" w:color="auto"/>
                                                        <w:right w:val="none" w:sz="0" w:space="0" w:color="auto"/>
                                                      </w:divBdr>
                                                      <w:divsChild>
                                                        <w:div w:id="1544905808">
                                                          <w:marLeft w:val="0"/>
                                                          <w:marRight w:val="0"/>
                                                          <w:marTop w:val="0"/>
                                                          <w:marBottom w:val="0"/>
                                                          <w:divBdr>
                                                            <w:top w:val="none" w:sz="0" w:space="0" w:color="auto"/>
                                                            <w:left w:val="none" w:sz="0" w:space="0" w:color="auto"/>
                                                            <w:bottom w:val="none" w:sz="0" w:space="0" w:color="auto"/>
                                                            <w:right w:val="none" w:sz="0" w:space="0" w:color="auto"/>
                                                          </w:divBdr>
                                                          <w:divsChild>
                                                            <w:div w:id="955983360">
                                                              <w:marLeft w:val="0"/>
                                                              <w:marRight w:val="0"/>
                                                              <w:marTop w:val="0"/>
                                                              <w:marBottom w:val="0"/>
                                                              <w:divBdr>
                                                                <w:top w:val="none" w:sz="0" w:space="0" w:color="auto"/>
                                                                <w:left w:val="none" w:sz="0" w:space="0" w:color="auto"/>
                                                                <w:bottom w:val="none" w:sz="0" w:space="0" w:color="auto"/>
                                                                <w:right w:val="none" w:sz="0" w:space="0" w:color="auto"/>
                                                              </w:divBdr>
                                                              <w:divsChild>
                                                                <w:div w:id="1033924527">
                                                                  <w:marLeft w:val="0"/>
                                                                  <w:marRight w:val="0"/>
                                                                  <w:marTop w:val="0"/>
                                                                  <w:marBottom w:val="0"/>
                                                                  <w:divBdr>
                                                                    <w:top w:val="none" w:sz="0" w:space="0" w:color="auto"/>
                                                                    <w:left w:val="none" w:sz="0" w:space="0" w:color="auto"/>
                                                                    <w:bottom w:val="none" w:sz="0" w:space="0" w:color="auto"/>
                                                                    <w:right w:val="none" w:sz="0" w:space="0" w:color="auto"/>
                                                                  </w:divBdr>
                                                                  <w:divsChild>
                                                                    <w:div w:id="1931309165">
                                                                      <w:marLeft w:val="0"/>
                                                                      <w:marRight w:val="0"/>
                                                                      <w:marTop w:val="0"/>
                                                                      <w:marBottom w:val="0"/>
                                                                      <w:divBdr>
                                                                        <w:top w:val="none" w:sz="0" w:space="0" w:color="auto"/>
                                                                        <w:left w:val="none" w:sz="0" w:space="0" w:color="auto"/>
                                                                        <w:bottom w:val="none" w:sz="0" w:space="0" w:color="auto"/>
                                                                        <w:right w:val="none" w:sz="0" w:space="0" w:color="auto"/>
                                                                      </w:divBdr>
                                                                      <w:divsChild>
                                                                        <w:div w:id="234973481">
                                                                          <w:marLeft w:val="0"/>
                                                                          <w:marRight w:val="0"/>
                                                                          <w:marTop w:val="0"/>
                                                                          <w:marBottom w:val="0"/>
                                                                          <w:divBdr>
                                                                            <w:top w:val="none" w:sz="0" w:space="0" w:color="auto"/>
                                                                            <w:left w:val="none" w:sz="0" w:space="0" w:color="auto"/>
                                                                            <w:bottom w:val="none" w:sz="0" w:space="0" w:color="auto"/>
                                                                            <w:right w:val="none" w:sz="0" w:space="0" w:color="auto"/>
                                                                          </w:divBdr>
                                                                          <w:divsChild>
                                                                            <w:div w:id="879442737">
                                                                              <w:marLeft w:val="0"/>
                                                                              <w:marRight w:val="0"/>
                                                                              <w:marTop w:val="0"/>
                                                                              <w:marBottom w:val="300"/>
                                                                              <w:divBdr>
                                                                                <w:top w:val="none" w:sz="0" w:space="0" w:color="auto"/>
                                                                                <w:left w:val="none" w:sz="0" w:space="0" w:color="auto"/>
                                                                                <w:bottom w:val="none" w:sz="0" w:space="0" w:color="auto"/>
                                                                                <w:right w:val="none" w:sz="0" w:space="0" w:color="auto"/>
                                                                              </w:divBdr>
                                                                            </w:div>
                                                                            <w:div w:id="1789426900">
                                                                              <w:marLeft w:val="0"/>
                                                                              <w:marRight w:val="0"/>
                                                                              <w:marTop w:val="0"/>
                                                                              <w:marBottom w:val="0"/>
                                                                              <w:divBdr>
                                                                                <w:top w:val="none" w:sz="0" w:space="0" w:color="auto"/>
                                                                                <w:left w:val="none" w:sz="0" w:space="0" w:color="auto"/>
                                                                                <w:bottom w:val="none" w:sz="0" w:space="0" w:color="auto"/>
                                                                                <w:right w:val="none" w:sz="0" w:space="0" w:color="auto"/>
                                                                              </w:divBdr>
                                                                              <w:divsChild>
                                                                                <w:div w:id="543566827">
                                                                                  <w:marLeft w:val="0"/>
                                                                                  <w:marRight w:val="0"/>
                                                                                  <w:marTop w:val="0"/>
                                                                                  <w:marBottom w:val="0"/>
                                                                                  <w:divBdr>
                                                                                    <w:top w:val="none" w:sz="0" w:space="0" w:color="auto"/>
                                                                                    <w:left w:val="none" w:sz="0" w:space="0" w:color="auto"/>
                                                                                    <w:bottom w:val="none" w:sz="0" w:space="0" w:color="auto"/>
                                                                                    <w:right w:val="none" w:sz="0" w:space="0" w:color="auto"/>
                                                                                  </w:divBdr>
                                                                                  <w:divsChild>
                                                                                    <w:div w:id="1606418764">
                                                                                      <w:marLeft w:val="0"/>
                                                                                      <w:marRight w:val="72"/>
                                                                                      <w:marTop w:val="0"/>
                                                                                      <w:marBottom w:val="225"/>
                                                                                      <w:divBdr>
                                                                                        <w:top w:val="none" w:sz="0" w:space="0" w:color="auto"/>
                                                                                        <w:left w:val="none" w:sz="0" w:space="0" w:color="auto"/>
                                                                                        <w:bottom w:val="none" w:sz="0" w:space="0" w:color="auto"/>
                                                                                        <w:right w:val="none" w:sz="0" w:space="0" w:color="auto"/>
                                                                                      </w:divBdr>
                                                                                    </w:div>
                                                                                    <w:div w:id="1052735238">
                                                                                      <w:marLeft w:val="0"/>
                                                                                      <w:marRight w:val="72"/>
                                                                                      <w:marTop w:val="0"/>
                                                                                      <w:marBottom w:val="225"/>
                                                                                      <w:divBdr>
                                                                                        <w:top w:val="none" w:sz="0" w:space="0" w:color="auto"/>
                                                                                        <w:left w:val="none" w:sz="0" w:space="0" w:color="auto"/>
                                                                                        <w:bottom w:val="none" w:sz="0" w:space="0" w:color="auto"/>
                                                                                        <w:right w:val="none" w:sz="0" w:space="0" w:color="auto"/>
                                                                                      </w:divBdr>
                                                                                    </w:div>
                                                                                    <w:div w:id="1074427054">
                                                                                      <w:marLeft w:val="0"/>
                                                                                      <w:marRight w:val="72"/>
                                                                                      <w:marTop w:val="0"/>
                                                                                      <w:marBottom w:val="225"/>
                                                                                      <w:divBdr>
                                                                                        <w:top w:val="none" w:sz="0" w:space="0" w:color="auto"/>
                                                                                        <w:left w:val="none" w:sz="0" w:space="0" w:color="auto"/>
                                                                                        <w:bottom w:val="none" w:sz="0" w:space="0" w:color="auto"/>
                                                                                        <w:right w:val="none" w:sz="0" w:space="0" w:color="auto"/>
                                                                                      </w:divBdr>
                                                                                    </w:div>
                                                                                    <w:div w:id="1604141662">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701129941">
                                                                              <w:marLeft w:val="0"/>
                                                                              <w:marRight w:val="0"/>
                                                                              <w:marTop w:val="0"/>
                                                                              <w:marBottom w:val="300"/>
                                                                              <w:divBdr>
                                                                                <w:top w:val="single" w:sz="6" w:space="3" w:color="DBDBD6"/>
                                                                                <w:left w:val="none" w:sz="0" w:space="0" w:color="auto"/>
                                                                                <w:bottom w:val="single" w:sz="6" w:space="3" w:color="DBDBD6"/>
                                                                                <w:right w:val="none" w:sz="0" w:space="0" w:color="auto"/>
                                                                              </w:divBdr>
                                                                              <w:divsChild>
                                                                                <w:div w:id="1895774895">
                                                                                  <w:marLeft w:val="0"/>
                                                                                  <w:marRight w:val="0"/>
                                                                                  <w:marTop w:val="0"/>
                                                                                  <w:marBottom w:val="0"/>
                                                                                  <w:divBdr>
                                                                                    <w:top w:val="none" w:sz="0" w:space="0" w:color="auto"/>
                                                                                    <w:left w:val="single" w:sz="6" w:space="8" w:color="DBDBD6"/>
                                                                                    <w:bottom w:val="none" w:sz="0" w:space="0" w:color="auto"/>
                                                                                    <w:right w:val="none" w:sz="0" w:space="0" w:color="auto"/>
                                                                                  </w:divBdr>
                                                                                </w:div>
                                                                              </w:divsChild>
                                                                            </w:div>
                                                                            <w:div w:id="9610312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ur.gov.it/web/guest/-/mobilita-sul-sito-del-ministero-e-disponibile-la-sezione-dedicata-con-tutti-i-termini-per-la-partecipazio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Lorenza</dc:creator>
  <cp:keywords/>
  <dc:description/>
  <cp:lastModifiedBy>Lorenza</cp:lastModifiedBy>
  <cp:revision>4</cp:revision>
  <dcterms:created xsi:type="dcterms:W3CDTF">2022-03-01T08:37:00Z</dcterms:created>
  <dcterms:modified xsi:type="dcterms:W3CDTF">2022-03-01T08:43:00Z</dcterms:modified>
</cp:coreProperties>
</file>