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7B9" w:rsidRDefault="009957B9">
      <w:pPr>
        <w:pStyle w:val="normal"/>
        <w:spacing w:line="240" w:lineRule="auto"/>
        <w:jc w:val="both"/>
      </w:pPr>
    </w:p>
    <w:p w:rsidR="009957B9" w:rsidRDefault="00C21A82">
      <w:pPr>
        <w:pStyle w:val="normal"/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OFFERTA - TRATTATIVA DIRETTA - ARREDI - </w:t>
      </w:r>
    </w:p>
    <w:p w:rsidR="009957B9" w:rsidRDefault="009957B9">
      <w:pPr>
        <w:pStyle w:val="normal"/>
        <w:spacing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Style w:val="a"/>
        <w:tblW w:w="1387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495"/>
        <w:gridCol w:w="7830"/>
        <w:gridCol w:w="1245"/>
        <w:gridCol w:w="2265"/>
        <w:gridCol w:w="2040"/>
      </w:tblGrid>
      <w:tr w:rsidR="009957B9">
        <w:trPr>
          <w:trHeight w:val="1455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Armadio con due ante e tre vani interni. Colori: legno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Accessori opzionali: chiavi - Dimensioni: h 119 cm, l 90 cm, p 45 cm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tcBorders>
              <w:top w:val="single" w:sz="7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10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banco di forma 1/6 di cerchio con 4 rotelle e altezza regolabile da 73 a 102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13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banco di forma 1/6 di cerchio con 4 rotelle e altezza regolabile da 73 a 102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3060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lastRenderedPageBreak/>
              <w:t>2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 xml:space="preserve">Carrello multifunzionali per sussidi didattici e giochi. Struttura in conglomerato ligneo di spessore 19 mm rivestita in </w:t>
            </w:r>
            <w:proofErr w:type="spellStart"/>
            <w:r>
              <w:t>melaminico</w:t>
            </w:r>
            <w:proofErr w:type="spellEnd"/>
            <w:r>
              <w:t xml:space="preserve"> di colore bianco. Fianchi colorati nei seguenti colori: verde, blu</w:t>
            </w:r>
          </w:p>
          <w:p w:rsidR="009957B9" w:rsidRDefault="00C21A82">
            <w:pPr>
              <w:pStyle w:val="normal"/>
              <w:widowControl w:val="0"/>
            </w:pPr>
            <w:r>
              <w:t xml:space="preserve">Ruote con freno di diametro 50 mm. Nella parte superiore </w:t>
            </w:r>
            <w:r>
              <w:t>ad altezza 590 mm sono presenti sei scomparti profondi 185 mm. Nei fianchi larghi sono presenti tre scomparti per lato alti 392 mm e profondi 159,5 mm idonei per uso libreria e contenimento di oggettistica varia.</w:t>
            </w:r>
          </w:p>
          <w:p w:rsidR="009957B9" w:rsidRDefault="00C21A82">
            <w:pPr>
              <w:pStyle w:val="normal"/>
              <w:widowControl w:val="0"/>
            </w:pPr>
            <w:r>
              <w:t>Colori: legno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Dimensioni: h77 cm x l 84 cm </w:t>
            </w:r>
            <w:r>
              <w:t>x p 56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208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28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 xml:space="preserve">Carrello multifunzionali per sussidi didattici e giochi. Struttura in conglomerato ligneo di spessore 19 mm rivestita in </w:t>
            </w:r>
            <w:proofErr w:type="spellStart"/>
            <w:r>
              <w:t>melaminico</w:t>
            </w:r>
            <w:proofErr w:type="spellEnd"/>
            <w:r>
              <w:t xml:space="preserve"> di colore bianco. Fianchi colorati nei seguenti colori: verde, blu</w:t>
            </w:r>
          </w:p>
          <w:p w:rsidR="009957B9" w:rsidRDefault="00C21A82">
            <w:pPr>
              <w:pStyle w:val="normal"/>
              <w:widowControl w:val="0"/>
            </w:pPr>
            <w:r>
              <w:t xml:space="preserve">Ruote con freno di diametro 50 mm. Nella parte superiore </w:t>
            </w:r>
            <w:r>
              <w:t>ad altezza 590 mm sono presenti sei scomparti profondi 185 mm. Nei fianchi larghi sono presenti tre scomparti per lato alti 392 mm e profondi 159,5 mm idonei per uso libreria e contenimento di oggettistica varia.</w:t>
            </w:r>
          </w:p>
          <w:p w:rsidR="009957B9" w:rsidRDefault="00C21A82">
            <w:pPr>
              <w:pStyle w:val="normal"/>
              <w:widowControl w:val="0"/>
            </w:pPr>
            <w:r>
              <w:t>Colori: legno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 xml:space="preserve">Dimensioni: h77 cm x l 84 cm </w:t>
            </w:r>
            <w:r>
              <w:t>x p 56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22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CARRELLO PER IMPILARE e TRASPORTARE 40 SEDUTE A PAVIMENTO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27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CARRELLO PER IMPILARE e TRASPORTARE 40 SEDUTE A PAVIMENTO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23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Gradinata modulare e mobile che può essere trasformata in uno scaffale, con ruote e ripiano che permette di creare diversi spazi di apprendimento e dividere le aree. Ruote, struttura in legno, capienza e rivestimento in PVC.</w:t>
            </w:r>
          </w:p>
          <w:p w:rsidR="009957B9" w:rsidRDefault="00C21A82">
            <w:pPr>
              <w:pStyle w:val="normal"/>
              <w:widowControl w:val="0"/>
            </w:pPr>
            <w:r>
              <w:t>Colori: menta, antracite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</w:t>
            </w:r>
            <w:r>
              <w:t>ioni: h45 x 90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8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183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trHeight w:val="1183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17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Libreria a giorno in legno bianco modulare con tre vani contenente 21 vaschette e con le ruote.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Dimensioni: h 81 cm, l 103 cm, p 45 cm Colori: bianco con vaschette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4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Libreria a giorno in legno bianco modulare con tre vani contenente 21 vaschette e con le ruote.</w:t>
            </w:r>
          </w:p>
          <w:p w:rsidR="009957B9" w:rsidRDefault="00C21A82">
            <w:pPr>
              <w:pStyle w:val="normal"/>
              <w:widowControl w:val="0"/>
            </w:pPr>
            <w:r>
              <w:t>Dimensioni: h 81 cm, l 103 cm, p 45 cm Colori: bianco con vaschette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Accessori opzionali: ruote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7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Mobile contenitore con 30 cursori (per 15 ripiani) carrello progettato per riporre e trasportare i kit o altri contenitori in plastica di dimensioni standard. Possono essere accessoriati con vaschette in plastica e binari mobili ad altezza variabile per ri</w:t>
            </w:r>
            <w:r>
              <w:t xml:space="preserve">porre le confezioni, anche nel caso in cui debbano ospitare contemporaneamente scatole di dimensioni diverse (ad esempio EV3 e </w:t>
            </w:r>
            <w:proofErr w:type="spellStart"/>
            <w:r>
              <w:t>WeDo</w:t>
            </w:r>
            <w:proofErr w:type="spellEnd"/>
            <w:r>
              <w:t xml:space="preserve"> 2.0). Dimensioni: 120x110x45 cm.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1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25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Pouf di forma cubica Colori: ocra, menta, antracite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Dimensioni: 55 x 55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9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 xml:space="preserve">Sedia impilabile monoscocca in polipropilene. Colori: , ocra, blu </w:t>
            </w:r>
            <w:proofErr w:type="spellStart"/>
            <w:r>
              <w:t>navy</w:t>
            </w:r>
            <w:proofErr w:type="spellEnd"/>
            <w:r>
              <w:t>,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Dimensioni: M5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343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trHeight w:val="1885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12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Sedia impilabile monoscocca in polipropilene. Struttura in tubo d’acciaio colore grigio RAL 9006 20×1,5 mm con piedini antirumore. La speciale sagomatura, ristretta verso la base, permette la seduta fronte schienale offrendo un appoggio nella parte superio</w:t>
            </w:r>
            <w:r>
              <w:t xml:space="preserve">re dello schienale. Colori: , ocra, blu </w:t>
            </w:r>
            <w:proofErr w:type="spellStart"/>
            <w:r>
              <w:t>navy</w:t>
            </w:r>
            <w:proofErr w:type="spellEnd"/>
            <w:r>
              <w:t>, Dimensioni: M5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14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Sedia impilabile monoscocca in polipropilene. Struttura in tubo d’acciaio colore grigio RAL 9006 20×1,5 mm con piedini antirumore. La speciale sagomatura, ristretta verso la base, permette la seduta fronte schienale offrendo un appoggio nella parte superio</w:t>
            </w:r>
            <w:r>
              <w:t xml:space="preserve">re dello schienale. Colori: , ocra, blu </w:t>
            </w:r>
            <w:proofErr w:type="spellStart"/>
            <w:r>
              <w:t>navy</w:t>
            </w:r>
            <w:proofErr w:type="spellEnd"/>
            <w:r>
              <w:t>, Dimensioni: M5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16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Sedia impilabile monoscocca in polipropilene. Struttura in tubo d’acciaio colore grigio RAL 9006 20×1,5 mm con piedini antirumore. La speciale sagomatura, ristretta verso la base, permette la seduta fronte schienale offrendo un appoggio nella parte superio</w:t>
            </w:r>
            <w:r>
              <w:t xml:space="preserve">re dello schienale. Colori: , ocra, blu </w:t>
            </w:r>
            <w:proofErr w:type="spellStart"/>
            <w:r>
              <w:t>navy</w:t>
            </w:r>
            <w:proofErr w:type="spellEnd"/>
            <w:r>
              <w:t>, Dimensioni: M5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215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trHeight w:val="1799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20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Sedia impilabile monoscocca in polipropilene. Struttura in tubo d’acciaio colore grigio RAL 9006 20×1,5 mm con piedini antirumore. La speciale sagomatura, ristretta verso la base, permette la seduta fronte schienale offrendo un appoggio nella parte superio</w:t>
            </w:r>
            <w:r>
              <w:t xml:space="preserve">re dello schienale. Colori: , ocra, blu </w:t>
            </w:r>
            <w:proofErr w:type="spellStart"/>
            <w:r>
              <w:t>navy</w:t>
            </w:r>
            <w:proofErr w:type="spellEnd"/>
            <w:r>
              <w:t>, Dimensioni: M5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493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21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Seduta a pavimento con supporto di lavoro portatile monoscocca in polipropilene. Può essere utilizzata a terra, su strutture morbide e su sedie.</w:t>
            </w:r>
          </w:p>
          <w:p w:rsidR="009957B9" w:rsidRDefault="00C21A82">
            <w:pPr>
              <w:pStyle w:val="normal"/>
              <w:widowControl w:val="0"/>
            </w:pPr>
            <w:r>
              <w:t>Dimensione piano di appoggio: 36 x 25 cm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Colori: ocra, menta, grigio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673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26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Seduta a pavimento con supporto di lavoro portatile monoscocca in polipropilene. Può essere utilizzata a terra, su strutture morbide e su sedie.</w:t>
            </w:r>
          </w:p>
          <w:p w:rsidR="009957B9" w:rsidRDefault="00C21A82">
            <w:pPr>
              <w:pStyle w:val="normal"/>
              <w:widowControl w:val="0"/>
            </w:pPr>
            <w:r>
              <w:t>Dimensione piano di appoggio: 36 x 25 cm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Colori: ocra, menta, grigio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30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365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trHeight w:val="2366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6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 xml:space="preserve">Tappeto </w:t>
            </w:r>
            <w:proofErr w:type="spellStart"/>
            <w:r>
              <w:t>eva</w:t>
            </w:r>
            <w:proofErr w:type="spellEnd"/>
            <w:r>
              <w:t xml:space="preserve"> bicolore 100x100 che si combinano come puzzle per adattarsi alle esigenze più diverse. </w:t>
            </w:r>
            <w:proofErr w:type="spellStart"/>
            <w:r>
              <w:t>Realizzatio</w:t>
            </w:r>
            <w:proofErr w:type="spellEnd"/>
            <w:r>
              <w:t xml:space="preserve"> in materiale INNOCUO </w:t>
            </w:r>
            <w:proofErr w:type="spellStart"/>
            <w:r>
              <w:t>E.V.A.</w:t>
            </w:r>
            <w:proofErr w:type="spellEnd"/>
            <w:r>
              <w:t xml:space="preserve"> (schiuma copolimero plastico), conforme alle normative UNI EN 71/1, 71/2, 71/3.</w:t>
            </w:r>
          </w:p>
          <w:p w:rsidR="009957B9" w:rsidRDefault="00C21A82">
            <w:pPr>
              <w:pStyle w:val="normal"/>
              <w:widowControl w:val="0"/>
            </w:pPr>
            <w:r>
              <w:t>Realizzati in schiuma copolimero plas</w:t>
            </w:r>
            <w:r>
              <w:t>tico</w:t>
            </w:r>
          </w:p>
          <w:p w:rsidR="009957B9" w:rsidRDefault="00C21A82">
            <w:pPr>
              <w:pStyle w:val="normal"/>
              <w:widowControl w:val="0"/>
            </w:pPr>
            <w:r>
              <w:t>Conforme alle normative UNI EN 71/1, 71/2, 71/3</w:t>
            </w:r>
          </w:p>
          <w:p w:rsidR="009957B9" w:rsidRDefault="00C21A82">
            <w:pPr>
              <w:pStyle w:val="normal"/>
              <w:widowControl w:val="0"/>
            </w:pPr>
            <w:r>
              <w:t xml:space="preserve">Insonorizzanti e termoisolanti, Non contengono </w:t>
            </w:r>
            <w:proofErr w:type="spellStart"/>
            <w:r>
              <w:t>formammide</w:t>
            </w:r>
            <w:proofErr w:type="spellEnd"/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Superficie antisdrucciolo, Componibili, cm 100x100x2,8h azzurro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5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 xml:space="preserve">Tappeto </w:t>
            </w:r>
            <w:proofErr w:type="spellStart"/>
            <w:r>
              <w:t>eva</w:t>
            </w:r>
            <w:proofErr w:type="spellEnd"/>
            <w:r>
              <w:t xml:space="preserve"> bicolore 100x100 che si combinano come puzzle per adattarsi alle esigenze più diverse. </w:t>
            </w:r>
            <w:proofErr w:type="spellStart"/>
            <w:r>
              <w:t>Realizzatio</w:t>
            </w:r>
            <w:proofErr w:type="spellEnd"/>
            <w:r>
              <w:t xml:space="preserve"> in materiale INNOCUO </w:t>
            </w:r>
            <w:proofErr w:type="spellStart"/>
            <w:r>
              <w:t>E.V.A.</w:t>
            </w:r>
            <w:proofErr w:type="spellEnd"/>
            <w:r>
              <w:t xml:space="preserve"> (schiuma copolimero plastico), conforme alle normative UNI EN 71/1, 71/2, 71/3. Realizzati in schiuma copolimero plas</w:t>
            </w:r>
            <w:r>
              <w:t>tico, Conforme alle normative UNI EN 71/1, 71/2, 71/3, Insonorizzanti e termoisolanti</w:t>
            </w:r>
          </w:p>
          <w:p w:rsidR="009957B9" w:rsidRDefault="00C21A82">
            <w:pPr>
              <w:pStyle w:val="normal"/>
              <w:widowControl w:val="0"/>
            </w:pPr>
            <w:r>
              <w:t xml:space="preserve">Non contengono </w:t>
            </w:r>
            <w:proofErr w:type="spellStart"/>
            <w:r>
              <w:t>formammide</w:t>
            </w:r>
            <w:proofErr w:type="spellEnd"/>
            <w:r>
              <w:t>, Superficie antisdrucciolo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Componibili, cm 100x100x2,8h verde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5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485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8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spacing w:line="240" w:lineRule="auto"/>
              <w:rPr>
                <w:sz w:val="20"/>
                <w:szCs w:val="20"/>
              </w:rPr>
            </w:pPr>
            <w:r>
              <w:t>Tavolo 1/6 di cerchio di dimensione 72,7 cm x 50 cm. Altezza M5- Piedino antirumore con regolazione altezza per il livellamento. Diametro ruote 75 mm. Il piano è ribaltabile a 90° e permette di essere impilati orizzontalmente in uno spazio ridotto. La comp</w:t>
            </w:r>
            <w:r>
              <w:t>osizione circolari a 6 tavoli viene realizzata in un diametro di 150 cm. Dimensione piano di appoggio: 75 x 50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11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Tavolo 1/6 di cerchio di dimensione 72,7 cm x 50 cm. Altezza M5- Piedino antirumore con regolazione altezza per il livellamento. Diametro ruote 75 mm. Il piano è ribaltabile a 90° e permette di essere impilati orizzontalmente in uno spazio ridotto. La comp</w:t>
            </w:r>
            <w:r>
              <w:t>osizione circolari a 6 tavoli viene realizzata in un diametro di 150 cm.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Dimensione piano di appoggio: 75 x 50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15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Tavolo 1/6 di cerchio di dimensione 72,7 cm x 50 cm. Altezza M5- Piedino antirumore con regolazione altezza per il livellamento. Diametro ruote 75 mm. Il piano è ribaltabile a 90° e permette di essere impilati orizzontalmente in uno spazio ridotto. La comp</w:t>
            </w:r>
            <w:r>
              <w:t>osizione circolari a 6 tavoli viene realizzata in un diametro di 150 cm.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Dimensione piano di appoggio: 75 x 50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2195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19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</w:pPr>
            <w:r>
              <w:t>Tavolo 1/6 di cerchio di dimensione 72,7 cm x 50 cm. Altezza M5- Piedino antirumore con regolazione altezza per il livellamento. Diametro ruote 75 mm. Il piano è ribaltabile a 90° e permette di essere impilati orizzontalmente in uno spazio ridotto. La comp</w:t>
            </w:r>
            <w:r>
              <w:t>osizione circolari a 6 tavoli viene realizzata in un diametro di 150 cm.</w:t>
            </w:r>
          </w:p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Dimensione piano di appoggio: 75 x 50 cm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1200"/>
          <w:jc w:val="center"/>
        </w:trPr>
        <w:tc>
          <w:tcPr>
            <w:tcW w:w="49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</w:rPr>
              <w:t xml:space="preserve"> riga (*)</w:t>
            </w:r>
          </w:p>
        </w:tc>
        <w:tc>
          <w:tcPr>
            <w:tcW w:w="78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Descrizione Voce (Marca/Modello/Tipo E Ogni Altra Caratteristica Atta Ad Individuare Con Precisione Il Modello</w:t>
            </w:r>
          </w:p>
        </w:tc>
        <w:tc>
          <w:tcPr>
            <w:tcW w:w="124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Quantità da acquistare</w:t>
            </w:r>
          </w:p>
        </w:tc>
        <w:tc>
          <w:tcPr>
            <w:tcW w:w="226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9D9D9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jc w:val="center"/>
              <w:rPr>
                <w:b/>
              </w:rPr>
            </w:pPr>
            <w:r>
              <w:rPr>
                <w:b/>
              </w:rPr>
              <w:t>Prezzo Unitario Iva esclusa</w:t>
            </w:r>
          </w:p>
        </w:tc>
        <w:tc>
          <w:tcPr>
            <w:tcW w:w="2040" w:type="dxa"/>
            <w:tcBorders>
              <w:left w:val="single" w:sz="7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957B9" w:rsidRDefault="00C21A82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Prezzo totale Iva Esclusa</w:t>
            </w:r>
          </w:p>
          <w:p w:rsidR="009957B9" w:rsidRDefault="009957B9">
            <w:pPr>
              <w:pStyle w:val="normal"/>
              <w:widowControl w:val="0"/>
              <w:spacing w:line="240" w:lineRule="auto"/>
              <w:jc w:val="center"/>
              <w:rPr>
                <w:b/>
              </w:rPr>
            </w:pPr>
          </w:p>
        </w:tc>
      </w:tr>
      <w:tr w:rsidR="009957B9">
        <w:trPr>
          <w:trHeight w:val="2401"/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24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proofErr w:type="spellStart"/>
            <w:r>
              <w:t>Tribunetta</w:t>
            </w:r>
            <w:proofErr w:type="spellEnd"/>
            <w:r>
              <w:t xml:space="preserve"> con assetto e configurazione variabile. Può essere aperta e diventare una libreria o contenitori a giorno occupando uno spazio di soli 45 cm di profondità meno di 80 cm di altezza e un'estensione di 180 cm. In configurazione </w:t>
            </w:r>
            <w:proofErr w:type="spellStart"/>
            <w:r>
              <w:t>tribunetta</w:t>
            </w:r>
            <w:proofErr w:type="spellEnd"/>
            <w:r>
              <w:t xml:space="preserve"> le genero</w:t>
            </w:r>
            <w:r>
              <w:t>se dimensioni di 90 cm x 90 cm possono ospitare comodamente 4 ragazzi su 2 livelli dedicando 45 cm x 45 cm per ogni postazione. Dimensioni: h80 x 90 cm (altezza seduta 45 cm)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6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3</w:t>
            </w:r>
          </w:p>
        </w:tc>
        <w:tc>
          <w:tcPr>
            <w:tcW w:w="783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Vaschette per armadi altezza 15 cm disponibili nei seguenti colori: ocra,</w:t>
            </w:r>
          </w:p>
        </w:tc>
        <w:tc>
          <w:tcPr>
            <w:tcW w:w="1245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jc w:val="center"/>
        </w:trPr>
        <w:tc>
          <w:tcPr>
            <w:tcW w:w="4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t>18</w:t>
            </w: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rPr>
                <w:sz w:val="20"/>
                <w:szCs w:val="20"/>
              </w:rPr>
            </w:pPr>
            <w:r>
              <w:t>Vaschette per armadi altezza 15 cm disponibili nei seguenti colori: ocra, verde menta</w:t>
            </w: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C21A82">
            <w:pPr>
              <w:pStyle w:val="normal"/>
              <w:widowControl w:val="0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24</w:t>
            </w:r>
          </w:p>
        </w:tc>
        <w:tc>
          <w:tcPr>
            <w:tcW w:w="2265" w:type="dxa"/>
            <w:tcBorders>
              <w:left w:val="single" w:sz="5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9957B9">
        <w:trPr>
          <w:trHeight w:val="725"/>
          <w:jc w:val="center"/>
        </w:trPr>
        <w:tc>
          <w:tcPr>
            <w:tcW w:w="49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9957B9">
            <w:pPr>
              <w:pStyle w:val="normal"/>
              <w:widowControl w:val="0"/>
              <w:jc w:val="center"/>
            </w:pPr>
          </w:p>
        </w:tc>
        <w:tc>
          <w:tcPr>
            <w:tcW w:w="7830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9957B9">
            <w:pPr>
              <w:pStyle w:val="normal"/>
              <w:widowControl w:val="0"/>
            </w:pPr>
          </w:p>
        </w:tc>
        <w:tc>
          <w:tcPr>
            <w:tcW w:w="1245" w:type="dxa"/>
            <w:tcBorders>
              <w:top w:val="single" w:sz="5" w:space="0" w:color="000000"/>
              <w:left w:val="single" w:sz="5" w:space="0" w:color="FFFFFF"/>
              <w:bottom w:val="single" w:sz="5" w:space="0" w:color="FFFFFF"/>
              <w:right w:val="single" w:sz="5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9957B9" w:rsidRDefault="009957B9">
            <w:pPr>
              <w:pStyle w:val="normal"/>
              <w:widowControl w:val="0"/>
              <w:jc w:val="center"/>
              <w:rPr>
                <w:b/>
              </w:rPr>
            </w:pPr>
          </w:p>
        </w:tc>
        <w:tc>
          <w:tcPr>
            <w:tcW w:w="2265" w:type="dxa"/>
            <w:tcBorders>
              <w:left w:val="single" w:sz="5" w:space="0" w:color="FFFFFF"/>
              <w:bottom w:val="single" w:sz="8" w:space="0" w:color="FFFFFF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C21A82">
            <w:pPr>
              <w:pStyle w:val="normal"/>
              <w:widowControl w:val="0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b/>
              </w:rPr>
              <w:t xml:space="preserve">TOTALE </w:t>
            </w:r>
          </w:p>
        </w:tc>
        <w:tc>
          <w:tcPr>
            <w:tcW w:w="2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57B9" w:rsidRDefault="009957B9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</w:tbl>
    <w:p w:rsidR="009957B9" w:rsidRDefault="009957B9">
      <w:pPr>
        <w:pStyle w:val="normal"/>
        <w:spacing w:line="240" w:lineRule="auto"/>
      </w:pPr>
    </w:p>
    <w:p w:rsidR="009957B9" w:rsidRDefault="00C21A82">
      <w:pPr>
        <w:pStyle w:val="normal"/>
        <w:spacing w:line="240" w:lineRule="auto"/>
      </w:pPr>
      <w:r>
        <w:t xml:space="preserve">(*) </w:t>
      </w:r>
      <w:proofErr w:type="spellStart"/>
      <w:r>
        <w:t>Nr</w:t>
      </w:r>
      <w:proofErr w:type="spellEnd"/>
      <w:r>
        <w:t xml:space="preserve"> riga - si faccia riferimento al capitolato tecnico arredi allegato.</w:t>
      </w:r>
    </w:p>
    <w:sectPr w:rsidR="009957B9" w:rsidSect="009957B9">
      <w:headerReference w:type="default" r:id="rId6"/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1A82" w:rsidRDefault="00C21A82" w:rsidP="009957B9">
      <w:pPr>
        <w:spacing w:line="240" w:lineRule="auto"/>
      </w:pPr>
      <w:r>
        <w:separator/>
      </w:r>
    </w:p>
  </w:endnote>
  <w:endnote w:type="continuationSeparator" w:id="0">
    <w:p w:rsidR="00C21A82" w:rsidRDefault="00C21A82" w:rsidP="009957B9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1A82" w:rsidRDefault="00C21A82" w:rsidP="009957B9">
      <w:pPr>
        <w:spacing w:line="240" w:lineRule="auto"/>
      </w:pPr>
      <w:r>
        <w:separator/>
      </w:r>
    </w:p>
  </w:footnote>
  <w:footnote w:type="continuationSeparator" w:id="0">
    <w:p w:rsidR="00C21A82" w:rsidRDefault="00C21A82" w:rsidP="009957B9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57B9" w:rsidRDefault="00C21A82">
    <w:pPr>
      <w:pStyle w:val="normal"/>
      <w:spacing w:line="240" w:lineRule="auto"/>
      <w:jc w:val="center"/>
    </w:pPr>
    <w:r>
      <w:rPr>
        <w:rFonts w:ascii="Calibri" w:eastAsia="Calibri" w:hAnsi="Calibri" w:cs="Calibri"/>
        <w:noProof/>
        <w:sz w:val="24"/>
        <w:szCs w:val="24"/>
        <w:lang w:val="it-IT"/>
      </w:rPr>
      <w:drawing>
        <wp:inline distT="114300" distB="114300" distL="114300" distR="114300">
          <wp:extent cx="6693788" cy="140017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93788" cy="1400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957B9"/>
    <w:rsid w:val="004B75F7"/>
    <w:rsid w:val="009957B9"/>
    <w:rsid w:val="00C21A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rsid w:val="009957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"/>
    <w:next w:val="normal"/>
    <w:rsid w:val="009957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"/>
    <w:next w:val="normal"/>
    <w:rsid w:val="009957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"/>
    <w:next w:val="normal"/>
    <w:rsid w:val="009957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"/>
    <w:next w:val="normal"/>
    <w:rsid w:val="009957B9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"/>
    <w:next w:val="normal"/>
    <w:rsid w:val="009957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  <w:rsid w:val="009957B9"/>
  </w:style>
  <w:style w:type="table" w:customStyle="1" w:styleId="TableNormal">
    <w:name w:val="Table Normal"/>
    <w:rsid w:val="009957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rsid w:val="009957B9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"/>
    <w:next w:val="normal"/>
    <w:rsid w:val="009957B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9957B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75F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75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1382</Words>
  <Characters>7878</Characters>
  <Application>Microsoft Office Word</Application>
  <DocSecurity>0</DocSecurity>
  <Lines>65</Lines>
  <Paragraphs>18</Paragraphs>
  <ScaleCrop>false</ScaleCrop>
  <Company/>
  <LinksUpToDate>false</LinksUpToDate>
  <CharactersWithSpaces>9242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Utente11</dc:creator>
  <cp:lastModifiedBy>Utente11</cp:lastModifiedBy>
  <cp:revision>2</cp:revision>
  <dcterms:created xsi:type="dcterms:W3CDTF">2023-07-18T05:55:00Z</dcterms:created>
  <dcterms:modified xsi:type="dcterms:W3CDTF">2023-07-18T05:55:00Z</dcterms:modified>
</cp:coreProperties>
</file>