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1273"/>
          <w:tab w:val="center" w:leader="none" w:pos="4819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6.4" w:lineRule="auto"/>
        <w:ind w:left="760" w:right="7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OGGETTO: PIANO NAZIONALE DI RIPRESA E RESILIENZA – MISSIONE 4: ISTRUZIONE E RICERCA 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 – Codice Avviso/Decreto M4C1I2.1-2023-1222 “Formazione del personale scolastico per la transizione digitale nelle scuole statali” (D.M. 66/2023) – Finanziato dall’Unione europea – Next Generation EU. Formazione del personale scolastico per la transizione digitale nelle scuole statali (D.M. 66/2023)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 del Progetto: Formattiva Dig Comp 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Codice del Progetto: M4C1I2.1-2023-1222-P - 34432 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C.U.P. C94D23001910006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00" w:right="1280" w:firstLine="0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Allegato A </w:t>
      </w:r>
    </w:p>
    <w:p w:rsidR="00000000" w:rsidDel="00000000" w:rsidP="00000000" w:rsidRDefault="00000000" w:rsidRPr="00000000" w14:paraId="00000013">
      <w:pPr>
        <w:ind w:left="1000" w:right="1280" w:firstLine="0"/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128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128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128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La/Il sottoscritt…</w: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20.5570779423506"/>
        <w:gridCol w:w="5804.954733081273"/>
        <w:tblGridChange w:id="0">
          <w:tblGrid>
            <w:gridCol w:w="3220.5570779423506"/>
            <w:gridCol w:w="5804.95473308127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Nome Cognome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Codice fiscale/P.IVA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Indirizzo di 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Telefono fisso</w:t>
            </w:r>
          </w:p>
          <w:p w:rsidR="00000000" w:rsidDel="00000000" w:rsidP="00000000" w:rsidRDefault="00000000" w:rsidRPr="00000000" w14:paraId="00000022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/Cellulare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Indirizzo 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="288" w:lineRule="auto"/>
              <w:ind w:left="100" w:right="2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="288" w:lineRule="auto"/>
              <w:ind w:left="100" w:right="10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8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8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A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 partecipare alla selezione di cui all’oggetto per l'attribuzione dell'incarico di (segnare con una x):</w:t>
      </w:r>
    </w:p>
    <w:p w:rsidR="00000000" w:rsidDel="00000000" w:rsidP="00000000" w:rsidRDefault="00000000" w:rsidRPr="00000000" w14:paraId="0000002B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4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Formatore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0" w:beforeAutospacing="0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Tutor</w:t>
      </w:r>
    </w:p>
    <w:p w:rsidR="00000000" w:rsidDel="00000000" w:rsidP="00000000" w:rsidRDefault="00000000" w:rsidRPr="00000000" w14:paraId="0000002E">
      <w:pPr>
        <w:spacing w:after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qualità di:</w:t>
      </w:r>
    </w:p>
    <w:p w:rsidR="00000000" w:rsidDel="00000000" w:rsidP="00000000" w:rsidRDefault="00000000" w:rsidRPr="00000000" w14:paraId="00000030">
      <w:pPr>
        <w:spacing w:after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Docente interno all’istituzione scolastica</w:t>
      </w:r>
    </w:p>
    <w:p w:rsidR="00000000" w:rsidDel="00000000" w:rsidP="00000000" w:rsidRDefault="00000000" w:rsidRPr="00000000" w14:paraId="00000031">
      <w:pPr>
        <w:spacing w:after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Docente collaborazione plurima (docente presso altra scuola)</w:t>
      </w:r>
    </w:p>
    <w:p w:rsidR="00000000" w:rsidDel="00000000" w:rsidP="00000000" w:rsidRDefault="00000000" w:rsidRPr="00000000" w14:paraId="00000032">
      <w:pPr>
        <w:spacing w:after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Esterno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IL SEGUENTE ARGOMENTO (INDICARE CON UNA CROCETTA):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Gestione didattica e tecnica degli ambienti di apprendimento innovativi e dei relativi strumenti tecnologici e dei laboratori, in complementarietà con "Scuola 4.0"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Pratiche innovative di verifica e valutazione degli apprendimenti anche con l’utilizzo delle tecnologie digitali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Didattica e insegnamento dell’informatica, del pensiero computazionale e del coding, dell’intelligenza artificiale e della robotica, a partire dalla scuola dell’infanzia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Potenziamento dell’insegnamento nelle discipline scientifiche, tecnologiche, ingegneristiche e matematiche (STEM),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Cybersicurezza utilizzo sicuro della rete internet e prevenzione del cyberbullismo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Utilizzo etico e responsabile dell’intelligenza artificiale nella pratica didattica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Tecnologie digitali per l’inclusione scolastica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Sviluppo delle competenze di orientamento dei docenti con l’utilizzo delle tecnologie digitali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Leadership dell’innovazione e della trasformazione digitale e didattica nelle scuole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color w:val="212529"/>
          <w:sz w:val="24"/>
          <w:szCs w:val="24"/>
          <w:highlight w:val="white"/>
          <w:rtl w:val="0"/>
        </w:rPr>
        <w:t xml:space="preserve">Digitalizzazione amministrativa delle segreterie scolastiche e potenziamento delle competenze digitali del personale ATA</w:t>
      </w:r>
    </w:p>
    <w:p w:rsidR="00000000" w:rsidDel="00000000" w:rsidP="00000000" w:rsidRDefault="00000000" w:rsidRPr="00000000" w14:paraId="00000040">
      <w:pPr>
        <w:ind w:left="720" w:firstLine="0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64" w:lineRule="auto"/>
        <w:ind w:right="94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 Leggi speciali in materia:</w:t>
      </w:r>
    </w:p>
    <w:p w:rsidR="00000000" w:rsidDel="00000000" w:rsidP="00000000" w:rsidRDefault="00000000" w:rsidRPr="00000000" w14:paraId="00000042">
      <w:pPr>
        <w:spacing w:line="264" w:lineRule="auto"/>
        <w:ind w:left="240" w:right="94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64" w:lineRule="auto"/>
        <w:ind w:left="240" w:right="94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</w:t>
      </w:r>
    </w:p>
    <w:p w:rsidR="00000000" w:rsidDel="00000000" w:rsidP="00000000" w:rsidRDefault="00000000" w:rsidRPr="00000000" w14:paraId="00000044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46">
      <w:pPr>
        <w:spacing w:after="240" w:before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essere in possesso della cittadinanza italiana o di uno degli Stati membri dell’Unione europea o di cittadinanza di Stati non membri dell’Unione europea;</w:t>
      </w:r>
    </w:p>
    <w:p w:rsidR="00000000" w:rsidDel="00000000" w:rsidP="00000000" w:rsidRDefault="00000000" w:rsidRPr="00000000" w14:paraId="00000047">
      <w:pPr>
        <w:spacing w:after="240" w:before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 godere dei diritti civili e politici in Italia e/o nello Stato di appartenenza;</w:t>
      </w:r>
    </w:p>
    <w:p w:rsidR="00000000" w:rsidDel="00000000" w:rsidP="00000000" w:rsidRDefault="00000000" w:rsidRPr="00000000" w14:paraId="00000048">
      <w:pPr>
        <w:spacing w:line="268.8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aver riportato condanne penali e non essere destinatario di provvedimenti che riguardano l’applicazione di misure di prevenzione, di sanzioni civili e di provvedimenti amministrativi iscritti nel casellario giudiziale;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essere stato/a destituito/a da pubblici impieghi;</w:t>
      </w:r>
    </w:p>
    <w:p w:rsidR="00000000" w:rsidDel="00000000" w:rsidP="00000000" w:rsidRDefault="00000000" w:rsidRPr="00000000" w14:paraId="0000004A">
      <w:pPr>
        <w:spacing w:before="60" w:line="264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4B">
      <w:pPr>
        <w:spacing w:before="60" w:line="264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20" w:line="264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non trovarsi in situazione di conflitto di interessi anche a livello potenziale intendendosi per tale             quello astrattamente configurato dall’art. 7 del D.P.R. n. 62/2013;</w:t>
      </w:r>
    </w:p>
    <w:p w:rsidR="00000000" w:rsidDel="00000000" w:rsidP="00000000" w:rsidRDefault="00000000" w:rsidRPr="00000000" w14:paraId="0000004D">
      <w:pPr>
        <w:spacing w:before="20" w:line="264" w:lineRule="auto"/>
        <w:ind w:right="94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 essere dipendente presso la seguente pubblica amministrazione:</w:t>
      </w:r>
    </w:p>
    <w:p w:rsidR="00000000" w:rsidDel="00000000" w:rsidP="00000000" w:rsidRDefault="00000000" w:rsidRPr="00000000" w14:paraId="0000004F">
      <w:pPr>
        <w:spacing w:before="40" w:lineRule="auto"/>
        <w:ind w:left="96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                            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qualità di________________</w:t>
      </w:r>
    </w:p>
    <w:p w:rsidR="00000000" w:rsidDel="00000000" w:rsidP="00000000" w:rsidRDefault="00000000" w:rsidRPr="00000000" w14:paraId="00000050">
      <w:pPr>
        <w:spacing w:before="40" w:lineRule="auto"/>
        <w:ind w:left="960" w:firstLine="0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51">
      <w:pPr>
        <w:spacing w:after="240" w:before="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essere in possesso dei requisiti essenziali previsti all’art.2 del presente Avviso;</w:t>
      </w:r>
    </w:p>
    <w:p w:rsidR="00000000" w:rsidDel="00000000" w:rsidP="00000000" w:rsidRDefault="00000000" w:rsidRPr="00000000" w14:paraId="00000052">
      <w:pPr>
        <w:spacing w:after="240" w:before="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aver preso visione dell’Avviso e di approvarne senza riserva ogni contenuto.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2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 alla presente:</w:t>
      </w:r>
    </w:p>
    <w:p w:rsidR="00000000" w:rsidDel="00000000" w:rsidP="00000000" w:rsidRDefault="00000000" w:rsidRPr="00000000" w14:paraId="00000054">
      <w:pPr>
        <w:ind w:left="24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20" w:lineRule="auto"/>
        <w:ind w:left="15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a)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scheda di autovalutazione (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allegato B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6">
      <w:pPr>
        <w:spacing w:before="20" w:lineRule="auto"/>
        <w:ind w:left="15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b)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57">
      <w:pPr>
        <w:spacing w:before="20" w:lineRule="auto"/>
        <w:ind w:left="15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c)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fotocopia documento di riconoscimento in corso di validità;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CONGIUNTA con: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relativi allo svolgimento di eventuali incarichi o alla titolarità di cariche in enti di diritto privato regolati o finanziati dalla pubblica amministrazione o allo svolgimento di attività professionali;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l’insussistenza di situazioni, anche potenziali, di conflitto di interessi (solo per personale esterno all’amministrazione pubblica)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______________                             </w:t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