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EB0C02" w:rsidP="00A84A6C">
      <w:pPr>
        <w:pStyle w:val="Corpotesto"/>
        <w:spacing w:line="235" w:lineRule="exact"/>
        <w:jc w:val="center"/>
      </w:pPr>
    </w:p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1076E6">
        <w:rPr>
          <w:rFonts w:asciiTheme="minorHAnsi" w:hAnsiTheme="minorHAnsi" w:cstheme="minorHAnsi"/>
          <w:sz w:val="22"/>
          <w:szCs w:val="22"/>
        </w:rPr>
        <w:t>3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C17BA4">
        <w:rPr>
          <w:rFonts w:asciiTheme="minorHAnsi" w:hAnsiTheme="minorHAnsi" w:cstheme="minorHAnsi"/>
          <w:sz w:val="22"/>
          <w:szCs w:val="22"/>
        </w:rPr>
        <w:t>10 gennaio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DC5DCD">
        <w:rPr>
          <w:rFonts w:asciiTheme="minorHAnsi" w:hAnsiTheme="minorHAnsi" w:cstheme="minorHAnsi"/>
          <w:sz w:val="22"/>
          <w:szCs w:val="22"/>
        </w:rPr>
        <w:t xml:space="preserve">acquisto </w:t>
      </w:r>
      <w:r w:rsidR="00C17BA4">
        <w:rPr>
          <w:rFonts w:asciiTheme="minorHAnsi" w:hAnsiTheme="minorHAnsi" w:cstheme="minorHAnsi"/>
          <w:sz w:val="22"/>
          <w:szCs w:val="22"/>
        </w:rPr>
        <w:t>ma</w:t>
      </w:r>
      <w:r w:rsidR="001076E6">
        <w:rPr>
          <w:rFonts w:asciiTheme="minorHAnsi" w:hAnsiTheme="minorHAnsi" w:cstheme="minorHAnsi"/>
          <w:sz w:val="22"/>
          <w:szCs w:val="22"/>
        </w:rPr>
        <w:t>scherine FFP2</w:t>
      </w:r>
      <w:r w:rsidR="0095686A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 xml:space="preserve">CIG: </w:t>
      </w:r>
      <w:r w:rsidR="001076E6">
        <w:rPr>
          <w:rFonts w:asciiTheme="minorHAnsi" w:hAnsiTheme="minorHAnsi" w:cstheme="minorHAnsi"/>
          <w:sz w:val="22"/>
          <w:szCs w:val="22"/>
        </w:rPr>
        <w:t>Z3934BBFE2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Default="006A1CA7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procedere</w:t>
      </w:r>
      <w:r>
        <w:rPr>
          <w:spacing w:val="-5"/>
          <w:sz w:val="18"/>
        </w:rPr>
        <w:t xml:space="preserve"> </w:t>
      </w:r>
      <w:r>
        <w:rPr>
          <w:sz w:val="18"/>
        </w:rPr>
        <w:t>mediante</w:t>
      </w:r>
      <w:r>
        <w:rPr>
          <w:spacing w:val="-5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economia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3"/>
          <w:sz w:val="18"/>
        </w:rPr>
        <w:t xml:space="preserve"> </w:t>
      </w:r>
      <w:r>
        <w:rPr>
          <w:sz w:val="18"/>
        </w:rPr>
        <w:t>diretto,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D.L.</w:t>
      </w:r>
      <w:r>
        <w:rPr>
          <w:spacing w:val="-4"/>
          <w:sz w:val="18"/>
        </w:rPr>
        <w:t xml:space="preserve"> </w:t>
      </w:r>
      <w:r>
        <w:rPr>
          <w:sz w:val="18"/>
        </w:rPr>
        <w:t>50/2016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46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D.I. 129/2018, presso</w:t>
      </w:r>
      <w:r w:rsidR="007860BD">
        <w:rPr>
          <w:sz w:val="18"/>
        </w:rPr>
        <w:t xml:space="preserve"> la ditta </w:t>
      </w:r>
      <w:r w:rsidR="001076E6" w:rsidRPr="001076E6">
        <w:rPr>
          <w:b/>
          <w:sz w:val="18"/>
        </w:rPr>
        <w:t xml:space="preserve">BLUEBAG ITALIA </w:t>
      </w:r>
      <w:r w:rsidR="00C17BA4" w:rsidRPr="001076E6">
        <w:rPr>
          <w:b/>
          <w:sz w:val="18"/>
        </w:rPr>
        <w:t>SRL</w:t>
      </w:r>
      <w:r w:rsidR="00C17BA4" w:rsidRPr="00FD408E">
        <w:rPr>
          <w:b/>
          <w:sz w:val="18"/>
        </w:rPr>
        <w:t xml:space="preserve"> </w:t>
      </w:r>
      <w:r w:rsidR="008F02CB">
        <w:rPr>
          <w:sz w:val="18"/>
        </w:rPr>
        <w:t>presente</w:t>
      </w:r>
      <w:r w:rsidR="00FF65EA">
        <w:rPr>
          <w:spacing w:val="-4"/>
          <w:sz w:val="18"/>
        </w:rPr>
        <w:t xml:space="preserve"> sul Mercato Elettronico</w:t>
      </w:r>
      <w:r w:rsidR="006341C4">
        <w:rPr>
          <w:sz w:val="18"/>
        </w:rPr>
        <w:t xml:space="preserve">;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506151">
        <w:rPr>
          <w:rFonts w:asciiTheme="minorHAnsi" w:hAnsiTheme="minorHAnsi" w:cstheme="minorHAnsi"/>
        </w:rPr>
        <w:t xml:space="preserve">il materiale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1076E6">
        <w:rPr>
          <w:rFonts w:asciiTheme="minorHAnsi" w:hAnsiTheme="minorHAnsi" w:cstheme="minorHAnsi"/>
        </w:rPr>
        <w:t>3.000</w:t>
      </w:r>
      <w:r w:rsidR="00FD408E">
        <w:rPr>
          <w:rFonts w:asciiTheme="minorHAnsi" w:hAnsiTheme="minorHAnsi" w:cstheme="minorHAnsi"/>
        </w:rPr>
        <w:t>,</w:t>
      </w:r>
      <w:r w:rsidR="001076E6">
        <w:rPr>
          <w:rFonts w:asciiTheme="minorHAnsi" w:hAnsiTheme="minorHAnsi" w:cstheme="minorHAnsi"/>
        </w:rPr>
        <w:t>00</w:t>
      </w:r>
      <w:r w:rsidR="002B71FB">
        <w:rPr>
          <w:rFonts w:asciiTheme="minorHAnsi" w:hAnsiTheme="minorHAnsi" w:cstheme="minorHAnsi"/>
        </w:rPr>
        <w:t xml:space="preserve"> </w:t>
      </w:r>
      <w:r w:rsidR="006F7E25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 xml:space="preserve">l’Attività A1-8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DC5DCD">
        <w:rPr>
          <w:rFonts w:asciiTheme="minorHAnsi" w:hAnsiTheme="minorHAnsi" w:cstheme="minorHAnsi"/>
        </w:rPr>
        <w:t>2</w:t>
      </w:r>
      <w:r w:rsidR="00AC50B1">
        <w:rPr>
          <w:rFonts w:asciiTheme="minorHAnsi" w:hAnsiTheme="minorHAnsi" w:cstheme="minorHAnsi"/>
        </w:rPr>
        <w:t>/0</w:t>
      </w:r>
      <w:r w:rsidR="000F5962">
        <w:rPr>
          <w:rFonts w:asciiTheme="minorHAnsi" w:hAnsiTheme="minorHAnsi" w:cstheme="minorHAnsi"/>
        </w:rPr>
        <w:t>3</w:t>
      </w:r>
      <w:r w:rsidR="00AC50B1">
        <w:rPr>
          <w:rFonts w:asciiTheme="minorHAnsi" w:hAnsiTheme="minorHAnsi" w:cstheme="minorHAnsi"/>
        </w:rPr>
        <w:t>/</w:t>
      </w:r>
      <w:r w:rsidR="000572DF">
        <w:rPr>
          <w:rFonts w:asciiTheme="minorHAnsi" w:hAnsiTheme="minorHAnsi" w:cstheme="minorHAnsi"/>
        </w:rPr>
        <w:t>10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0572DF">
        <w:rPr>
          <w:rFonts w:asciiTheme="minorHAnsi" w:hAnsiTheme="minorHAnsi" w:cstheme="minorHAnsi"/>
        </w:rPr>
        <w:t>3.150,00</w:t>
      </w:r>
      <w:bookmarkStart w:id="0" w:name="_GoBack"/>
      <w:bookmarkEnd w:id="0"/>
      <w:r w:rsidR="006F7E25">
        <w:rPr>
          <w:rFonts w:asciiTheme="minorHAnsi" w:hAnsiTheme="minorHAnsi" w:cstheme="minorHAnsi"/>
        </w:rPr>
        <w:t xml:space="preserve"> compreso</w:t>
      </w:r>
      <w:r w:rsidR="002D28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9537B"/>
    <w:rsid w:val="001D1862"/>
    <w:rsid w:val="001F6F1B"/>
    <w:rsid w:val="002347E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4EDA"/>
    <w:rsid w:val="0045015A"/>
    <w:rsid w:val="00451AE4"/>
    <w:rsid w:val="00486234"/>
    <w:rsid w:val="004925ED"/>
    <w:rsid w:val="004B7E0B"/>
    <w:rsid w:val="004F14D3"/>
    <w:rsid w:val="00506151"/>
    <w:rsid w:val="00510443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E7E42"/>
    <w:rsid w:val="00B10811"/>
    <w:rsid w:val="00B11052"/>
    <w:rsid w:val="00B3665C"/>
    <w:rsid w:val="00B92505"/>
    <w:rsid w:val="00B96909"/>
    <w:rsid w:val="00BA5C1B"/>
    <w:rsid w:val="00BB2A37"/>
    <w:rsid w:val="00BB5BCF"/>
    <w:rsid w:val="00BE0C05"/>
    <w:rsid w:val="00C13374"/>
    <w:rsid w:val="00C17BA4"/>
    <w:rsid w:val="00C24566"/>
    <w:rsid w:val="00C27814"/>
    <w:rsid w:val="00C47082"/>
    <w:rsid w:val="00CB41E3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E86781"/>
    <w:rsid w:val="00E9044B"/>
    <w:rsid w:val="00EA1DC9"/>
    <w:rsid w:val="00EB0C02"/>
    <w:rsid w:val="00EF093D"/>
    <w:rsid w:val="00EF69A4"/>
    <w:rsid w:val="00F341DA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2021-12-23T10:33:00Z</cp:lastPrinted>
  <dcterms:created xsi:type="dcterms:W3CDTF">2022-01-26T10:13:00Z</dcterms:created>
  <dcterms:modified xsi:type="dcterms:W3CDTF">2022-01-26T10:45:00Z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