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7" w:type="dxa"/>
        <w:tblInd w:w="-4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9"/>
        <w:gridCol w:w="2619"/>
        <w:gridCol w:w="2619"/>
        <w:gridCol w:w="2630"/>
      </w:tblGrid>
      <w:tr w:rsidR="00D32828" w14:paraId="64623CD1" w14:textId="77777777" w:rsidTr="00675A6E">
        <w:trPr>
          <w:trHeight w:val="1003"/>
        </w:trPr>
        <w:tc>
          <w:tcPr>
            <w:tcW w:w="2528" w:type="dxa"/>
            <w:tcBorders>
              <w:bottom w:val="single" w:sz="4" w:space="0" w:color="5B9BD5"/>
            </w:tcBorders>
            <w:shd w:val="clear" w:color="auto" w:fill="auto"/>
          </w:tcPr>
          <w:p w14:paraId="61C48B07" w14:textId="77777777" w:rsidR="00D32828" w:rsidRDefault="00D32828" w:rsidP="00675A6E">
            <w:pPr>
              <w:pStyle w:val="Contenutotabella"/>
              <w:ind w:left="-28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59264" behindDoc="1" locked="0" layoutInCell="1" allowOverlap="1" wp14:anchorId="48DBF87D" wp14:editId="39D8B1D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-36830</wp:posOffset>
                  </wp:positionV>
                  <wp:extent cx="1203325" cy="796290"/>
                  <wp:effectExtent l="0" t="0" r="0" b="0"/>
                  <wp:wrapSquare wrapText="largest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bottom w:val="single" w:sz="4" w:space="0" w:color="5B9BD5"/>
            </w:tcBorders>
            <w:shd w:val="clear" w:color="auto" w:fill="auto"/>
          </w:tcPr>
          <w:p w14:paraId="4C166DA0" w14:textId="77777777" w:rsidR="00D32828" w:rsidRDefault="00D32828" w:rsidP="00675A6E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1" locked="0" layoutInCell="1" allowOverlap="1" wp14:anchorId="492A9A08" wp14:editId="02640F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7555" cy="796925"/>
                  <wp:effectExtent l="0" t="0" r="0" b="0"/>
                  <wp:wrapSquare wrapText="largest"/>
                  <wp:docPr id="2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bottom w:val="single" w:sz="4" w:space="0" w:color="5B9BD5"/>
            </w:tcBorders>
            <w:shd w:val="clear" w:color="auto" w:fill="auto"/>
          </w:tcPr>
          <w:p w14:paraId="1378640D" w14:textId="77777777" w:rsidR="00D32828" w:rsidRDefault="00D32828" w:rsidP="00675A6E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1312" behindDoc="1" locked="0" layoutInCell="1" allowOverlap="1" wp14:anchorId="53B1BA38" wp14:editId="6441D175">
                  <wp:simplePos x="0" y="0"/>
                  <wp:positionH relativeFrom="page">
                    <wp:posOffset>368935</wp:posOffset>
                  </wp:positionH>
                  <wp:positionV relativeFrom="page">
                    <wp:posOffset>-829310</wp:posOffset>
                  </wp:positionV>
                  <wp:extent cx="845185" cy="845185"/>
                  <wp:effectExtent l="0" t="0" r="0" b="0"/>
                  <wp:wrapSquare wrapText="largest"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0" w:type="dxa"/>
            <w:tcBorders>
              <w:bottom w:val="single" w:sz="4" w:space="0" w:color="5B9BD5"/>
            </w:tcBorders>
            <w:shd w:val="clear" w:color="auto" w:fill="auto"/>
          </w:tcPr>
          <w:p w14:paraId="0CA300CC" w14:textId="77777777" w:rsidR="00D32828" w:rsidRDefault="00D32828" w:rsidP="00675A6E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2336" behindDoc="1" locked="0" layoutInCell="1" allowOverlap="1" wp14:anchorId="4C0D618D" wp14:editId="38643537">
                  <wp:simplePos x="0" y="0"/>
                  <wp:positionH relativeFrom="page">
                    <wp:posOffset>167640</wp:posOffset>
                  </wp:positionH>
                  <wp:positionV relativeFrom="page">
                    <wp:posOffset>-699135</wp:posOffset>
                  </wp:positionV>
                  <wp:extent cx="1276350" cy="767715"/>
                  <wp:effectExtent l="0" t="0" r="0" b="0"/>
                  <wp:wrapSquare wrapText="largest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2828" w14:paraId="42A7F4F8" w14:textId="77777777" w:rsidTr="00675A6E">
        <w:trPr>
          <w:trHeight w:val="904"/>
        </w:trPr>
        <w:tc>
          <w:tcPr>
            <w:tcW w:w="10396" w:type="dxa"/>
            <w:gridSpan w:val="4"/>
            <w:tcBorders>
              <w:top w:val="single" w:sz="4" w:space="0" w:color="5B9BD5"/>
            </w:tcBorders>
            <w:shd w:val="clear" w:color="auto" w:fill="auto"/>
          </w:tcPr>
          <w:p w14:paraId="27C40C4C" w14:textId="1F534A87" w:rsidR="00D32828" w:rsidRDefault="00D32828" w:rsidP="00675A6E">
            <w:pPr>
              <w:shd w:val="clear" w:color="auto" w:fill="FFFFFF"/>
              <w:ind w:left="-66" w:right="-4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caps/>
                <w:sz w:val="22"/>
                <w:szCs w:val="22"/>
              </w:rPr>
              <w:t xml:space="preserve">Istituto Comprensivo Statale 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SCUOLA 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>INFANZIA,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 PRIMARIA E 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 xml:space="preserve">SECONDARIA </w:t>
            </w:r>
            <w:proofErr w:type="gramStart"/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>DI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  I</w:t>
            </w:r>
            <w:proofErr w:type="gramEnd"/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 GRADO</w:t>
            </w:r>
          </w:p>
          <w:p w14:paraId="27188871" w14:textId="478D58B2" w:rsidR="00D32828" w:rsidRDefault="00D32828" w:rsidP="00675A6E">
            <w:pPr>
              <w:shd w:val="clear" w:color="auto" w:fill="FFFFFF"/>
              <w:ind w:left="-66" w:right="-4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Via 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>Quasimodo -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>c.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>a.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p.: </w:t>
            </w:r>
            <w:r>
              <w:rPr>
                <w:rFonts w:ascii="Times New Roman" w:hAnsi="Times New Roman" w:cs="Calibri"/>
                <w:b/>
                <w:caps/>
                <w:sz w:val="22"/>
                <w:szCs w:val="22"/>
              </w:rPr>
              <w:t>87023 diamante (CS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>) Tel./Fax 0985 876878</w:t>
            </w:r>
          </w:p>
          <w:p w14:paraId="73371FCE" w14:textId="506A2E17" w:rsidR="00D32828" w:rsidRDefault="00D32828" w:rsidP="00675A6E">
            <w:pPr>
              <w:shd w:val="clear" w:color="auto" w:fill="FFFFFF"/>
              <w:ind w:left="-66" w:right="-44"/>
              <w:jc w:val="center"/>
              <w:rPr>
                <w:rFonts w:ascii="Times New Roman" w:hAnsi="Times New Roman" w:cs="Calibri"/>
                <w:b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softHyphen/>
              <w:t xml:space="preserve">od. 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>Scuola: CSIC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836001 - C.F.: 92011850788 - Cod. </w:t>
            </w:r>
            <w:r w:rsidR="001F2FF4">
              <w:rPr>
                <w:rFonts w:ascii="Times New Roman" w:hAnsi="Times New Roman" w:cs="Calibri"/>
                <w:b/>
                <w:sz w:val="22"/>
                <w:szCs w:val="22"/>
              </w:rPr>
              <w:t>I.P.A.: UFJDL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>7</w:t>
            </w:r>
          </w:p>
          <w:p w14:paraId="4406FF71" w14:textId="4B841D15" w:rsidR="001F2FF4" w:rsidRDefault="001F2FF4" w:rsidP="00675A6E">
            <w:pPr>
              <w:shd w:val="clear" w:color="auto" w:fill="FFFFFF"/>
              <w:ind w:left="-66" w:right="-44"/>
              <w:jc w:val="center"/>
              <w:rPr>
                <w:rStyle w:val="InternetLink"/>
                <w:rFonts w:ascii="Times New Roman" w:hAnsi="Times New Roman" w:cs="Calibri"/>
                <w:b/>
                <w:sz w:val="22"/>
                <w:szCs w:val="22"/>
              </w:rPr>
            </w:pPr>
            <w:r w:rsidRPr="001F2FF4">
              <w:rPr>
                <w:b/>
                <w:bCs/>
              </w:rPr>
              <w:t>p. e. o.:</w:t>
            </w:r>
            <w:r>
              <w:t xml:space="preserve"> </w:t>
            </w:r>
            <w:hyperlink r:id="rId8" w:history="1">
              <w:r w:rsidRPr="008B72B0">
                <w:rPr>
                  <w:rStyle w:val="Collegamentoipertestuale"/>
                  <w:rFonts w:ascii="Times New Roman" w:hAnsi="Times New Roman" w:cs="Calibri"/>
                  <w:sz w:val="22"/>
                  <w:szCs w:val="22"/>
                </w:rPr>
                <w:t>csic836001@istruzione.it</w:t>
              </w:r>
            </w:hyperlink>
            <w:r w:rsidR="00D32828">
              <w:rPr>
                <w:rFonts w:ascii="Times New Roman" w:hAnsi="Times New Roman" w:cs="Calibri"/>
                <w:b/>
                <w:sz w:val="22"/>
                <w:szCs w:val="22"/>
              </w:rPr>
              <w:t xml:space="preserve"> – p. e. </w:t>
            </w:r>
            <w:r>
              <w:rPr>
                <w:rFonts w:ascii="Times New Roman" w:hAnsi="Times New Roman" w:cs="Calibri"/>
                <w:b/>
                <w:sz w:val="22"/>
                <w:szCs w:val="22"/>
              </w:rPr>
              <w:t>c.:</w:t>
            </w:r>
            <w:r w:rsidR="00D32828">
              <w:rPr>
                <w:rFonts w:ascii="Times New Roman" w:hAnsi="Times New Roman" w:cs="Calibri"/>
                <w:b/>
                <w:sz w:val="22"/>
                <w:szCs w:val="22"/>
              </w:rPr>
              <w:t xml:space="preserve"> </w:t>
            </w:r>
            <w:hyperlink r:id="rId9">
              <w:r w:rsidR="00D32828">
                <w:rPr>
                  <w:rStyle w:val="InternetLink"/>
                  <w:rFonts w:ascii="Times New Roman" w:hAnsi="Times New Roman" w:cs="Calibri"/>
                  <w:b/>
                  <w:sz w:val="22"/>
                  <w:szCs w:val="22"/>
                </w:rPr>
                <w:t>csic836001@pec.istruzione.it</w:t>
              </w:r>
            </w:hyperlink>
          </w:p>
          <w:p w14:paraId="24CC09FD" w14:textId="61F30B57" w:rsidR="00D32828" w:rsidRDefault="00D32828" w:rsidP="00675A6E">
            <w:pPr>
              <w:shd w:val="clear" w:color="auto" w:fill="FFFFFF"/>
              <w:ind w:left="-66" w:right="-44"/>
              <w:jc w:val="center"/>
              <w:rPr>
                <w:rFonts w:hint="eastAsia"/>
              </w:rPr>
            </w:pPr>
            <w:r>
              <w:rPr>
                <w:rFonts w:ascii="Times New Roman" w:hAnsi="Times New Roman" w:cs="Calibri"/>
                <w:b/>
                <w:sz w:val="22"/>
                <w:szCs w:val="22"/>
              </w:rPr>
              <w:t xml:space="preserve">Sito web: </w:t>
            </w:r>
            <w:hyperlink r:id="rId10">
              <w:r>
                <w:rPr>
                  <w:rStyle w:val="InternetLink"/>
                  <w:rFonts w:ascii="Times New Roman" w:hAnsi="Times New Roman" w:cs="Calibri"/>
                  <w:b/>
                  <w:sz w:val="22"/>
                  <w:szCs w:val="22"/>
                </w:rPr>
                <w:t>www.icdiamante.edu.it</w:t>
              </w:r>
            </w:hyperlink>
          </w:p>
        </w:tc>
      </w:tr>
    </w:tbl>
    <w:p w14:paraId="547C0165" w14:textId="1C612450" w:rsidR="00E53850" w:rsidRDefault="00E53850" w:rsidP="00326F8F">
      <w:pPr>
        <w:rPr>
          <w:rFonts w:ascii="Lucida Handwriting" w:hAnsi="Lucida Handwriting" w:cs="Times New Roman"/>
          <w:sz w:val="18"/>
          <w:szCs w:val="18"/>
        </w:rPr>
      </w:pPr>
    </w:p>
    <w:p w14:paraId="55BAD758" w14:textId="32B7AD56" w:rsidR="002A70D5" w:rsidRPr="009F63CD" w:rsidRDefault="002A70D5" w:rsidP="00326F8F">
      <w:pPr>
        <w:rPr>
          <w:rFonts w:ascii="Lucida Handwriting" w:hAnsi="Lucida Handwriting" w:cs="Times New Roman"/>
          <w:sz w:val="20"/>
          <w:szCs w:val="20"/>
        </w:rPr>
      </w:pPr>
    </w:p>
    <w:p w14:paraId="4B819C00" w14:textId="31C89DB2" w:rsidR="002A70D5" w:rsidRPr="009F63CD" w:rsidRDefault="002A70D5" w:rsidP="00326F8F">
      <w:pPr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</w:rPr>
        <w:t>Determina n.</w:t>
      </w:r>
      <w:r w:rsidR="00B84981" w:rsidRPr="009F63CD">
        <w:rPr>
          <w:rFonts w:ascii="Times New Roman" w:hAnsi="Times New Roman" w:cs="Times New Roman"/>
        </w:rPr>
        <w:t>1</w:t>
      </w:r>
      <w:r w:rsidR="0015561B" w:rsidRPr="009F63CD">
        <w:rPr>
          <w:rFonts w:ascii="Times New Roman" w:hAnsi="Times New Roman" w:cs="Times New Roman"/>
        </w:rPr>
        <w:t>7</w:t>
      </w:r>
      <w:r w:rsidR="00B84981" w:rsidRPr="009F63CD">
        <w:rPr>
          <w:rFonts w:ascii="Times New Roman" w:hAnsi="Times New Roman" w:cs="Times New Roman"/>
        </w:rPr>
        <w:t xml:space="preserve">                                                                                                 Diamante 18/03/2022</w:t>
      </w:r>
    </w:p>
    <w:p w14:paraId="5BFBD3EE" w14:textId="77777777" w:rsidR="00B84981" w:rsidRPr="009F63CD" w:rsidRDefault="00B84981" w:rsidP="009F63CD">
      <w:pPr>
        <w:rPr>
          <w:rFonts w:ascii="Times New Roman" w:hAnsi="Times New Roman" w:cs="Times New Roman"/>
        </w:rPr>
      </w:pPr>
    </w:p>
    <w:p w14:paraId="6106F611" w14:textId="39FA173A" w:rsidR="00B15021" w:rsidRPr="009F63CD" w:rsidRDefault="00B15021" w:rsidP="00B15021">
      <w:pPr>
        <w:jc w:val="right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</w:rPr>
        <w:t>Al DSGA</w:t>
      </w:r>
    </w:p>
    <w:p w14:paraId="03E7C0D2" w14:textId="397B99AD" w:rsidR="00435BF8" w:rsidRPr="009F63CD" w:rsidRDefault="00B15021" w:rsidP="00B15021">
      <w:pPr>
        <w:jc w:val="right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</w:rPr>
        <w:t xml:space="preserve">ALBO ONLINE – SITO WEB </w:t>
      </w:r>
    </w:p>
    <w:p w14:paraId="4C68F0AC" w14:textId="74F2D788" w:rsidR="002A70D5" w:rsidRPr="009F63CD" w:rsidRDefault="00B15021" w:rsidP="002A70D5">
      <w:pPr>
        <w:jc w:val="right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</w:rPr>
        <w:t>AGLI ATTI</w:t>
      </w:r>
    </w:p>
    <w:p w14:paraId="6368B7E5" w14:textId="66FE47EC" w:rsidR="00B84981" w:rsidRPr="009F63CD" w:rsidRDefault="00B84981" w:rsidP="00B84981">
      <w:pPr>
        <w:rPr>
          <w:rFonts w:ascii="Times New Roman" w:hAnsi="Times New Roman" w:cs="Times New Roman"/>
        </w:rPr>
      </w:pPr>
    </w:p>
    <w:p w14:paraId="4C785777" w14:textId="53212648" w:rsidR="0015561B" w:rsidRPr="009F63CD" w:rsidRDefault="0015561B" w:rsidP="0015561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Determina </w:t>
      </w:r>
      <w:r w:rsidRPr="009F63CD">
        <w:rPr>
          <w:rFonts w:ascii="Times New Roman" w:eastAsiaTheme="minorHAnsi" w:hAnsi="Times New Roman" w:cs="Times New Roman"/>
          <w:kern w:val="0"/>
          <w:lang w:eastAsia="en-US" w:bidi="ar-SA"/>
        </w:rPr>
        <w:t>per liquidazione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attività </w:t>
      </w:r>
      <w:r w:rsidRPr="009F63C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svolta 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nell’ambito del “Piano scuola estate 2021” finanziato con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risorse ex art. 31, comma 6 del decreto - legge 22 marzo 2021, e risorse ex art. 3, comma 1,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lettera a) del D.M. 48/2021.</w:t>
      </w:r>
    </w:p>
    <w:p w14:paraId="5203138B" w14:textId="5B11946F" w:rsidR="0015561B" w:rsidRPr="009F63CD" w:rsidRDefault="0015561B" w:rsidP="0015561B">
      <w:pPr>
        <w:suppressAutoHyphens w:val="0"/>
        <w:overflowPunct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IL DIRIGENTE SCOLASTICO</w:t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br/>
      </w:r>
    </w:p>
    <w:p w14:paraId="618A0D3A" w14:textId="77777777" w:rsidR="0015561B" w:rsidRPr="009F63CD" w:rsidRDefault="0015561B" w:rsidP="0015561B">
      <w:pPr>
        <w:suppressAutoHyphens w:val="0"/>
        <w:overflowPunct/>
        <w:spacing w:line="259" w:lineRule="auto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la Legge 15 marzo 1997 n. 59, concernente “Delega al Governo per il conferimento di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funzioni e compiti alle regioni ed enti locali, per la riforma della Pubblica Amministrazione e per la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semplificazione amministrativa";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il Decreto Legislativo 30 marzo 2001, n. 165 recante “Norme generali sull’ordinamento del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 xml:space="preserve">lavoro alle dipendenze delle Amministrazioni Pubbliche” e </w:t>
      </w:r>
      <w:proofErr w:type="spellStart"/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ss.mm.ii</w:t>
      </w:r>
      <w:proofErr w:type="spellEnd"/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.;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il D.P.R. 8 marzo 1999, n. 275, Regolamento recante norme in materia di autonomia delle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istituzioni scolastiche, ai sensi dell'art. 21 della Legge 15 marzo 1997, n.59 e ss.mm.;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VISTA 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la Legge 13 luglio 2015 n. 107, concernente “Riforma del sistema nazionale di istruzione e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formazione e delega per il riordino delle disposizioni legislative vigenti”;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il D.I. 28 agosto 2018, n. 129 “Regolamento recante istruzioni generali sulla gestione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amministrativo-contabile delle Istituzioni Scolastiche, ai sensi dell’articolo 1, comma 143, della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legge 13 luglio 2015, n. 107”;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il CCNL Comparto Scuola del 29 novembre 2007, tutt’ora vigente in virtù dell’art. 1,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comma 10 del CCNL Istruzione e Ricerca del 19 aprile 2018;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la Legge 7 agosto 1990, n. 241 “Nuove norme in materia di procedimento amministrativo e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 xml:space="preserve">di diritto di accesso ai documenti amministrativi” e </w:t>
      </w:r>
      <w:proofErr w:type="spellStart"/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ss.mm.ii</w:t>
      </w:r>
      <w:proofErr w:type="spellEnd"/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.;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9F63C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VISTO </w:t>
      </w:r>
      <w:r w:rsidRPr="009F63CD">
        <w:rPr>
          <w:rFonts w:ascii="Times New Roman" w:eastAsiaTheme="minorHAnsi" w:hAnsi="Times New Roman" w:cs="Times New Roman"/>
          <w:bCs/>
          <w:kern w:val="0"/>
          <w:lang w:eastAsia="en-US" w:bidi="ar-SA"/>
        </w:rPr>
        <w:t>il Programma Annuale 2022 approvato con delibera n. 3 del 08/02/2022;</w:t>
      </w:r>
    </w:p>
    <w:p w14:paraId="6F52A45F" w14:textId="2EEAC90D" w:rsidR="0015561B" w:rsidRPr="009F63CD" w:rsidRDefault="0015561B" w:rsidP="0015561B">
      <w:pPr>
        <w:suppressAutoHyphens w:val="0"/>
        <w:overflowPunct/>
        <w:spacing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il decreto-legge 22 marzo 2021, n. 41;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la Nota del MI n. 643 del 27/04/2021, avente ad oggetto “Piano scuola estate 2021. Un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ponte per il nuovo inizio”;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la Nota del MI n. 11653 del 14/05/2021, avente ad oggetto “Art. 31, comma 6 del DL 22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marzo 2021, n. 41 “c.d. Decreto sostegni” - “Misure per favorire l’attività didattica e per il recupero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delle competenze e della socialità delle studentesse e degli studenti nell’emergenza Covid-19”.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 xml:space="preserve">Prime indicazioni per le istituzioni scolastiche </w:t>
      </w:r>
      <w:proofErr w:type="gramStart"/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>ed</w:t>
      </w:r>
      <w:proofErr w:type="gramEnd"/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educative statali;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lastRenderedPageBreak/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l’Avviso Nota prot. n. 14736 del 22 giugno 2021 con cui vengono assegnate a questo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istituto le risorse ex art. 31, comma 6 del DL 22 marzo 2021, n. 41 (Piano Scuola Estate);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la Nota 14418 del 18 giugno 2021 con cui vengono assegnate a questo istituto le risorse ex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  <w:t>art. 3, comma 1, lettera a) del DM 48/2021;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15561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VISTA</w:t>
      </w:r>
      <w:r w:rsidRPr="0015561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la delibera n.81, verbale n. 10 del Collegio docenti del 17 maggio 2021;</w:t>
      </w:r>
    </w:p>
    <w:p w14:paraId="507E93D9" w14:textId="34F7A9A5" w:rsidR="0015561B" w:rsidRPr="0015561B" w:rsidRDefault="0015561B" w:rsidP="0015561B">
      <w:pPr>
        <w:suppressAutoHyphens w:val="0"/>
        <w:overflowPunct/>
        <w:spacing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F63C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VISTA </w:t>
      </w:r>
      <w:r w:rsidRPr="009F63CD">
        <w:rPr>
          <w:rFonts w:ascii="Times New Roman" w:eastAsiaTheme="minorHAnsi" w:hAnsi="Times New Roman" w:cs="Times New Roman"/>
          <w:kern w:val="0"/>
          <w:lang w:eastAsia="en-US" w:bidi="ar-SA"/>
        </w:rPr>
        <w:t>la delibera n 4bis del Consiglio di istituto del 17 maggio 2021;</w:t>
      </w:r>
    </w:p>
    <w:p w14:paraId="27704202" w14:textId="77777777" w:rsidR="008520BF" w:rsidRPr="009F63CD" w:rsidRDefault="008520BF" w:rsidP="0015561B">
      <w:pPr>
        <w:suppressAutoHyphens w:val="0"/>
        <w:overflowPunct/>
        <w:spacing w:after="160" w:line="259" w:lineRule="auto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  <w:b/>
          <w:bCs/>
        </w:rPr>
        <w:t>VISTI</w:t>
      </w:r>
      <w:r w:rsidRPr="009F63CD">
        <w:rPr>
          <w:rFonts w:ascii="Times New Roman" w:hAnsi="Times New Roman" w:cs="Times New Roman"/>
        </w:rPr>
        <w:t xml:space="preserve"> gli atti di individuazione e conferimento incarichi dei moduli formativi nel progetto, per l’importo massimo ivi indicato, e le ore effettivamente prestate al termine dei Moduli </w:t>
      </w:r>
    </w:p>
    <w:p w14:paraId="7452070D" w14:textId="77777777" w:rsidR="008520BF" w:rsidRPr="009F63CD" w:rsidRDefault="008520BF" w:rsidP="0015561B">
      <w:pPr>
        <w:suppressAutoHyphens w:val="0"/>
        <w:overflowPunct/>
        <w:spacing w:after="160" w:line="259" w:lineRule="auto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  <w:b/>
          <w:bCs/>
        </w:rPr>
        <w:t>VISTI</w:t>
      </w:r>
      <w:r w:rsidRPr="009F63CD">
        <w:rPr>
          <w:rFonts w:ascii="Times New Roman" w:hAnsi="Times New Roman" w:cs="Times New Roman"/>
        </w:rPr>
        <w:t xml:space="preserve"> gli atti e la documentazione d’ufficio, </w:t>
      </w:r>
    </w:p>
    <w:p w14:paraId="41B14AAD" w14:textId="77777777" w:rsidR="008520BF" w:rsidRPr="009F63CD" w:rsidRDefault="008520BF" w:rsidP="00BB649B">
      <w:pPr>
        <w:suppressAutoHyphens w:val="0"/>
        <w:overflowPunct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9F63CD">
        <w:rPr>
          <w:rFonts w:ascii="Times New Roman" w:hAnsi="Times New Roman" w:cs="Times New Roman"/>
          <w:b/>
          <w:bCs/>
        </w:rPr>
        <w:t>DETERMINA</w:t>
      </w:r>
    </w:p>
    <w:p w14:paraId="5078C865" w14:textId="39C68122" w:rsidR="0015561B" w:rsidRPr="0015561B" w:rsidRDefault="008520BF" w:rsidP="0015561B">
      <w:pPr>
        <w:suppressAutoHyphens w:val="0"/>
        <w:overflowPunct/>
        <w:spacing w:after="160" w:line="259" w:lineRule="auto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</w:rPr>
        <w:t xml:space="preserve">di liquidare, per le motivazioni in premessa, gli incarichi relativo al reclutamento di personale interno all’Istituzione Scolastica </w:t>
      </w:r>
      <w:r w:rsidR="00BB649B" w:rsidRPr="009F63CD">
        <w:rPr>
          <w:rFonts w:ascii="Times New Roman" w:hAnsi="Times New Roman" w:cs="Times New Roman"/>
        </w:rPr>
        <w:t>impiegato</w:t>
      </w:r>
      <w:r w:rsidRPr="009F63CD">
        <w:rPr>
          <w:rFonts w:ascii="Times New Roman" w:hAnsi="Times New Roman" w:cs="Times New Roman"/>
        </w:rPr>
        <w:t xml:space="preserve"> per lo svolgimento di attività per il rinforzo ed il potenziamento delle competenze disciplinari, relazionali e di socialità degli alunni e per l’introduzione al nuovo anno </w:t>
      </w:r>
      <w:proofErr w:type="spellStart"/>
      <w:proofErr w:type="gramStart"/>
      <w:r w:rsidRPr="009F63CD">
        <w:rPr>
          <w:rFonts w:ascii="Times New Roman" w:hAnsi="Times New Roman" w:cs="Times New Roman"/>
        </w:rPr>
        <w:t>scolastico.Piano</w:t>
      </w:r>
      <w:proofErr w:type="spellEnd"/>
      <w:proofErr w:type="gramEnd"/>
      <w:r w:rsidRPr="009F63CD">
        <w:rPr>
          <w:rFonts w:ascii="Times New Roman" w:hAnsi="Times New Roman" w:cs="Times New Roman"/>
        </w:rPr>
        <w:t xml:space="preserve"> scuola Estate 2021 – D.L. 41/2021 art. 31 comma 6 in relazione all’impegno orario effettuato ed all’importo lordo dipendente pro capite come di seguito indicato</w:t>
      </w:r>
      <w:r w:rsidR="009F63CD">
        <w:rPr>
          <w:rFonts w:ascii="Times New Roman" w:hAnsi="Times New Roman" w:cs="Times New Roman"/>
        </w:rPr>
        <w:t>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434"/>
        <w:gridCol w:w="869"/>
        <w:gridCol w:w="496"/>
        <w:gridCol w:w="852"/>
        <w:gridCol w:w="653"/>
        <w:gridCol w:w="541"/>
        <w:gridCol w:w="815"/>
        <w:gridCol w:w="682"/>
        <w:gridCol w:w="682"/>
        <w:gridCol w:w="682"/>
        <w:gridCol w:w="1150"/>
        <w:gridCol w:w="772"/>
      </w:tblGrid>
      <w:tr w:rsidR="00845BD4" w:rsidRPr="00845BD4" w14:paraId="068CA2F8" w14:textId="77777777" w:rsidTr="00845BD4">
        <w:trPr>
          <w:trHeight w:val="465"/>
        </w:trPr>
        <w:tc>
          <w:tcPr>
            <w:tcW w:w="9628" w:type="dxa"/>
            <w:gridSpan w:val="12"/>
            <w:noWrap/>
            <w:hideMark/>
          </w:tcPr>
          <w:p w14:paraId="01431BC2" w14:textId="4604A80A" w:rsidR="00845BD4" w:rsidRPr="00845BD4" w:rsidRDefault="009F63CD" w:rsidP="009F63CD">
            <w:pPr>
              <w:suppressAutoHyphens w:val="0"/>
              <w:overflowPunct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TABELLA DI LIQUIDAZIONE </w:t>
            </w:r>
            <w:r w:rsidR="00845BD4"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PROGETTO PIANO ESTATE DOCENTI SECONDARIA I GRADO</w:t>
            </w:r>
          </w:p>
        </w:tc>
      </w:tr>
      <w:tr w:rsidR="009F63CD" w:rsidRPr="009F63CD" w14:paraId="0B93E169" w14:textId="77777777" w:rsidTr="005B620C">
        <w:trPr>
          <w:cantSplit/>
          <w:trHeight w:val="1134"/>
        </w:trPr>
        <w:tc>
          <w:tcPr>
            <w:tcW w:w="1388" w:type="dxa"/>
            <w:noWrap/>
            <w:hideMark/>
          </w:tcPr>
          <w:p w14:paraId="5C54AE2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74" w:type="dxa"/>
            <w:noWrap/>
            <w:textDirection w:val="btLr"/>
            <w:hideMark/>
          </w:tcPr>
          <w:p w14:paraId="37A90981" w14:textId="23E86E1B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9F63CD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ORE</w:t>
            </w:r>
          </w:p>
        </w:tc>
        <w:tc>
          <w:tcPr>
            <w:tcW w:w="498" w:type="dxa"/>
            <w:noWrap/>
            <w:textDirection w:val="btLr"/>
            <w:hideMark/>
          </w:tcPr>
          <w:p w14:paraId="6ADE6876" w14:textId="68FED6BF" w:rsidR="00845BD4" w:rsidRPr="00845BD4" w:rsidRDefault="005B620C" w:rsidP="00845BD4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9F63CD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IMPORTO</w:t>
            </w:r>
          </w:p>
        </w:tc>
        <w:tc>
          <w:tcPr>
            <w:tcW w:w="857" w:type="dxa"/>
            <w:noWrap/>
            <w:textDirection w:val="btLr"/>
            <w:hideMark/>
          </w:tcPr>
          <w:p w14:paraId="715A6575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LORDO DIPENDENTE</w:t>
            </w:r>
          </w:p>
        </w:tc>
        <w:tc>
          <w:tcPr>
            <w:tcW w:w="656" w:type="dxa"/>
            <w:noWrap/>
            <w:textDirection w:val="btLr"/>
            <w:hideMark/>
          </w:tcPr>
          <w:p w14:paraId="33F33D9B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INPDAP 8,80%</w:t>
            </w:r>
          </w:p>
        </w:tc>
        <w:tc>
          <w:tcPr>
            <w:tcW w:w="544" w:type="dxa"/>
            <w:noWrap/>
            <w:textDirection w:val="btLr"/>
            <w:hideMark/>
          </w:tcPr>
          <w:p w14:paraId="158F1FC7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FC 0,35%</w:t>
            </w:r>
          </w:p>
        </w:tc>
        <w:tc>
          <w:tcPr>
            <w:tcW w:w="820" w:type="dxa"/>
            <w:noWrap/>
            <w:textDirection w:val="btLr"/>
            <w:hideMark/>
          </w:tcPr>
          <w:p w14:paraId="2EC2DF2C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IMPONIBILE</w:t>
            </w:r>
          </w:p>
        </w:tc>
        <w:tc>
          <w:tcPr>
            <w:tcW w:w="686" w:type="dxa"/>
            <w:noWrap/>
            <w:textDirection w:val="btLr"/>
            <w:hideMark/>
          </w:tcPr>
          <w:p w14:paraId="04F87893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IRPEF</w:t>
            </w:r>
          </w:p>
        </w:tc>
        <w:tc>
          <w:tcPr>
            <w:tcW w:w="686" w:type="dxa"/>
            <w:noWrap/>
            <w:textDirection w:val="btLr"/>
            <w:hideMark/>
          </w:tcPr>
          <w:p w14:paraId="4B364DDC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NETTO</w:t>
            </w:r>
          </w:p>
        </w:tc>
        <w:tc>
          <w:tcPr>
            <w:tcW w:w="686" w:type="dxa"/>
            <w:noWrap/>
            <w:textDirection w:val="btLr"/>
            <w:hideMark/>
          </w:tcPr>
          <w:p w14:paraId="7D55BC12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IRAP 8,50%</w:t>
            </w:r>
          </w:p>
        </w:tc>
        <w:tc>
          <w:tcPr>
            <w:tcW w:w="1157" w:type="dxa"/>
            <w:noWrap/>
            <w:textDirection w:val="btLr"/>
            <w:hideMark/>
          </w:tcPr>
          <w:p w14:paraId="5D1D05DC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INPDAP 24,20%</w:t>
            </w:r>
          </w:p>
        </w:tc>
        <w:tc>
          <w:tcPr>
            <w:tcW w:w="776" w:type="dxa"/>
            <w:noWrap/>
            <w:textDirection w:val="btLr"/>
            <w:hideMark/>
          </w:tcPr>
          <w:p w14:paraId="3D76A48F" w14:textId="77777777" w:rsidR="00845BD4" w:rsidRPr="00845BD4" w:rsidRDefault="00845BD4" w:rsidP="005B620C">
            <w:pPr>
              <w:suppressAutoHyphens w:val="0"/>
              <w:overflowPunct/>
              <w:ind w:left="113" w:right="113"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LORDO stato</w:t>
            </w:r>
          </w:p>
        </w:tc>
      </w:tr>
      <w:tr w:rsidR="009F63CD" w:rsidRPr="009F63CD" w14:paraId="27D080C5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433B3C5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DENI CONCETTA</w:t>
            </w:r>
          </w:p>
        </w:tc>
        <w:tc>
          <w:tcPr>
            <w:tcW w:w="874" w:type="dxa"/>
            <w:noWrap/>
            <w:hideMark/>
          </w:tcPr>
          <w:p w14:paraId="5287464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2A9FD5C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50D81D4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420,00 </w:t>
            </w:r>
          </w:p>
        </w:tc>
        <w:tc>
          <w:tcPr>
            <w:tcW w:w="656" w:type="dxa"/>
            <w:noWrap/>
            <w:hideMark/>
          </w:tcPr>
          <w:p w14:paraId="0DE8610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36,96 </w:t>
            </w:r>
          </w:p>
        </w:tc>
        <w:tc>
          <w:tcPr>
            <w:tcW w:w="544" w:type="dxa"/>
            <w:noWrap/>
            <w:hideMark/>
          </w:tcPr>
          <w:p w14:paraId="26DDEA8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1,47 </w:t>
            </w:r>
          </w:p>
        </w:tc>
        <w:tc>
          <w:tcPr>
            <w:tcW w:w="820" w:type="dxa"/>
            <w:noWrap/>
            <w:hideMark/>
          </w:tcPr>
          <w:p w14:paraId="2A7C343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381,57 </w:t>
            </w:r>
          </w:p>
        </w:tc>
        <w:tc>
          <w:tcPr>
            <w:tcW w:w="686" w:type="dxa"/>
            <w:noWrap/>
            <w:hideMark/>
          </w:tcPr>
          <w:p w14:paraId="79EBC14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103,02 </w:t>
            </w:r>
          </w:p>
        </w:tc>
        <w:tc>
          <w:tcPr>
            <w:tcW w:w="686" w:type="dxa"/>
            <w:noWrap/>
            <w:hideMark/>
          </w:tcPr>
          <w:p w14:paraId="64637DF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278,55 </w:t>
            </w:r>
          </w:p>
        </w:tc>
        <w:tc>
          <w:tcPr>
            <w:tcW w:w="686" w:type="dxa"/>
            <w:noWrap/>
            <w:hideMark/>
          </w:tcPr>
          <w:p w14:paraId="57E4423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35,70 </w:t>
            </w:r>
          </w:p>
        </w:tc>
        <w:tc>
          <w:tcPr>
            <w:tcW w:w="1157" w:type="dxa"/>
            <w:noWrap/>
            <w:hideMark/>
          </w:tcPr>
          <w:p w14:paraId="6ACD683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101,64 </w:t>
            </w:r>
          </w:p>
        </w:tc>
        <w:tc>
          <w:tcPr>
            <w:tcW w:w="776" w:type="dxa"/>
            <w:noWrap/>
            <w:hideMark/>
          </w:tcPr>
          <w:p w14:paraId="6523C1D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557,34 </w:t>
            </w:r>
          </w:p>
        </w:tc>
      </w:tr>
      <w:tr w:rsidR="009F63CD" w:rsidRPr="009F63CD" w14:paraId="16B8C015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04E8BE5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ROSSANO </w:t>
            </w:r>
            <w:proofErr w:type="gramStart"/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A.MARIA</w:t>
            </w:r>
            <w:proofErr w:type="gramEnd"/>
          </w:p>
        </w:tc>
        <w:tc>
          <w:tcPr>
            <w:tcW w:w="874" w:type="dxa"/>
            <w:noWrap/>
            <w:hideMark/>
          </w:tcPr>
          <w:p w14:paraId="6FDBC37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36</w:t>
            </w:r>
          </w:p>
        </w:tc>
        <w:tc>
          <w:tcPr>
            <w:tcW w:w="498" w:type="dxa"/>
            <w:noWrap/>
            <w:hideMark/>
          </w:tcPr>
          <w:p w14:paraId="5CE753B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3184AF3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1.260,00 </w:t>
            </w:r>
          </w:p>
        </w:tc>
        <w:tc>
          <w:tcPr>
            <w:tcW w:w="656" w:type="dxa"/>
            <w:noWrap/>
            <w:hideMark/>
          </w:tcPr>
          <w:p w14:paraId="4A4288E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110,88 </w:t>
            </w:r>
          </w:p>
        </w:tc>
        <w:tc>
          <w:tcPr>
            <w:tcW w:w="544" w:type="dxa"/>
            <w:noWrap/>
            <w:hideMark/>
          </w:tcPr>
          <w:p w14:paraId="7589E68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4,41 </w:t>
            </w:r>
          </w:p>
        </w:tc>
        <w:tc>
          <w:tcPr>
            <w:tcW w:w="820" w:type="dxa"/>
            <w:noWrap/>
            <w:hideMark/>
          </w:tcPr>
          <w:p w14:paraId="465E554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1.144,71 </w:t>
            </w:r>
          </w:p>
        </w:tc>
        <w:tc>
          <w:tcPr>
            <w:tcW w:w="686" w:type="dxa"/>
            <w:noWrap/>
            <w:hideMark/>
          </w:tcPr>
          <w:p w14:paraId="2BFAB5DA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309,07 </w:t>
            </w:r>
          </w:p>
        </w:tc>
        <w:tc>
          <w:tcPr>
            <w:tcW w:w="686" w:type="dxa"/>
            <w:noWrap/>
            <w:hideMark/>
          </w:tcPr>
          <w:p w14:paraId="4C1F27F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835,64 </w:t>
            </w:r>
          </w:p>
        </w:tc>
        <w:tc>
          <w:tcPr>
            <w:tcW w:w="686" w:type="dxa"/>
            <w:noWrap/>
            <w:hideMark/>
          </w:tcPr>
          <w:p w14:paraId="624DECC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107,10 </w:t>
            </w:r>
          </w:p>
        </w:tc>
        <w:tc>
          <w:tcPr>
            <w:tcW w:w="1157" w:type="dxa"/>
            <w:noWrap/>
            <w:hideMark/>
          </w:tcPr>
          <w:p w14:paraId="628250C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304,92 </w:t>
            </w:r>
          </w:p>
        </w:tc>
        <w:tc>
          <w:tcPr>
            <w:tcW w:w="776" w:type="dxa"/>
            <w:noWrap/>
            <w:hideMark/>
          </w:tcPr>
          <w:p w14:paraId="3C62007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1.672,02 </w:t>
            </w:r>
          </w:p>
        </w:tc>
      </w:tr>
      <w:tr w:rsidR="009F63CD" w:rsidRPr="009F63CD" w14:paraId="43F6B652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48AD99D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GUAGLIANONE</w:t>
            </w:r>
          </w:p>
          <w:p w14:paraId="46F4313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LORETTA</w:t>
            </w:r>
          </w:p>
        </w:tc>
        <w:tc>
          <w:tcPr>
            <w:tcW w:w="874" w:type="dxa"/>
            <w:noWrap/>
            <w:hideMark/>
          </w:tcPr>
          <w:p w14:paraId="210FD4F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24</w:t>
            </w:r>
          </w:p>
        </w:tc>
        <w:tc>
          <w:tcPr>
            <w:tcW w:w="498" w:type="dxa"/>
            <w:noWrap/>
            <w:hideMark/>
          </w:tcPr>
          <w:p w14:paraId="776A732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49D0946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840,00 </w:t>
            </w:r>
          </w:p>
        </w:tc>
        <w:tc>
          <w:tcPr>
            <w:tcW w:w="656" w:type="dxa"/>
            <w:noWrap/>
            <w:hideMark/>
          </w:tcPr>
          <w:p w14:paraId="61DB2423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73,92 </w:t>
            </w:r>
          </w:p>
        </w:tc>
        <w:tc>
          <w:tcPr>
            <w:tcW w:w="544" w:type="dxa"/>
            <w:noWrap/>
            <w:hideMark/>
          </w:tcPr>
          <w:p w14:paraId="2F064D4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2,94 </w:t>
            </w:r>
          </w:p>
        </w:tc>
        <w:tc>
          <w:tcPr>
            <w:tcW w:w="820" w:type="dxa"/>
            <w:noWrap/>
            <w:hideMark/>
          </w:tcPr>
          <w:p w14:paraId="1FD03CB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763,14 </w:t>
            </w:r>
          </w:p>
        </w:tc>
        <w:tc>
          <w:tcPr>
            <w:tcW w:w="686" w:type="dxa"/>
            <w:noWrap/>
            <w:hideMark/>
          </w:tcPr>
          <w:p w14:paraId="12B7209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206,05 </w:t>
            </w:r>
          </w:p>
        </w:tc>
        <w:tc>
          <w:tcPr>
            <w:tcW w:w="686" w:type="dxa"/>
            <w:noWrap/>
            <w:hideMark/>
          </w:tcPr>
          <w:p w14:paraId="1669F2F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557,09 </w:t>
            </w:r>
          </w:p>
        </w:tc>
        <w:tc>
          <w:tcPr>
            <w:tcW w:w="686" w:type="dxa"/>
            <w:noWrap/>
            <w:hideMark/>
          </w:tcPr>
          <w:p w14:paraId="799B74E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71,40 </w:t>
            </w:r>
          </w:p>
        </w:tc>
        <w:tc>
          <w:tcPr>
            <w:tcW w:w="1157" w:type="dxa"/>
            <w:noWrap/>
            <w:hideMark/>
          </w:tcPr>
          <w:p w14:paraId="5BDFB29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203,28 </w:t>
            </w:r>
          </w:p>
        </w:tc>
        <w:tc>
          <w:tcPr>
            <w:tcW w:w="776" w:type="dxa"/>
            <w:noWrap/>
            <w:hideMark/>
          </w:tcPr>
          <w:p w14:paraId="2FD2C5B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1.114,68 </w:t>
            </w:r>
          </w:p>
        </w:tc>
      </w:tr>
      <w:tr w:rsidR="009F63CD" w:rsidRPr="009F63CD" w14:paraId="43AB0670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6ABD4945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ROTA FEDERICO</w:t>
            </w:r>
          </w:p>
        </w:tc>
        <w:tc>
          <w:tcPr>
            <w:tcW w:w="874" w:type="dxa"/>
            <w:noWrap/>
            <w:hideMark/>
          </w:tcPr>
          <w:p w14:paraId="7AB0C1F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6A0E222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3B40408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420,00 </w:t>
            </w:r>
          </w:p>
        </w:tc>
        <w:tc>
          <w:tcPr>
            <w:tcW w:w="656" w:type="dxa"/>
            <w:noWrap/>
            <w:hideMark/>
          </w:tcPr>
          <w:p w14:paraId="2AF759A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36,96 </w:t>
            </w:r>
          </w:p>
        </w:tc>
        <w:tc>
          <w:tcPr>
            <w:tcW w:w="544" w:type="dxa"/>
            <w:noWrap/>
            <w:hideMark/>
          </w:tcPr>
          <w:p w14:paraId="6E37056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1,47 </w:t>
            </w:r>
          </w:p>
        </w:tc>
        <w:tc>
          <w:tcPr>
            <w:tcW w:w="820" w:type="dxa"/>
            <w:noWrap/>
            <w:hideMark/>
          </w:tcPr>
          <w:p w14:paraId="4FD720E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381,57 </w:t>
            </w:r>
          </w:p>
        </w:tc>
        <w:tc>
          <w:tcPr>
            <w:tcW w:w="686" w:type="dxa"/>
            <w:noWrap/>
            <w:hideMark/>
          </w:tcPr>
          <w:p w14:paraId="0B16FC2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103,02 </w:t>
            </w:r>
          </w:p>
        </w:tc>
        <w:tc>
          <w:tcPr>
            <w:tcW w:w="686" w:type="dxa"/>
            <w:noWrap/>
            <w:hideMark/>
          </w:tcPr>
          <w:p w14:paraId="0BD3B4F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278,55 </w:t>
            </w:r>
          </w:p>
        </w:tc>
        <w:tc>
          <w:tcPr>
            <w:tcW w:w="686" w:type="dxa"/>
            <w:noWrap/>
            <w:hideMark/>
          </w:tcPr>
          <w:p w14:paraId="53D230E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35,70 </w:t>
            </w:r>
          </w:p>
        </w:tc>
        <w:tc>
          <w:tcPr>
            <w:tcW w:w="1157" w:type="dxa"/>
            <w:noWrap/>
            <w:hideMark/>
          </w:tcPr>
          <w:p w14:paraId="41AC2C6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101,64 </w:t>
            </w:r>
          </w:p>
        </w:tc>
        <w:tc>
          <w:tcPr>
            <w:tcW w:w="776" w:type="dxa"/>
            <w:noWrap/>
            <w:hideMark/>
          </w:tcPr>
          <w:p w14:paraId="0530FEC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557,34 </w:t>
            </w:r>
          </w:p>
        </w:tc>
      </w:tr>
      <w:tr w:rsidR="009F63CD" w:rsidRPr="009F63CD" w14:paraId="5034FAF6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1322D0F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SOLLAZZO</w:t>
            </w:r>
          </w:p>
          <w:p w14:paraId="39B7DBF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VINCENZO</w:t>
            </w:r>
          </w:p>
        </w:tc>
        <w:tc>
          <w:tcPr>
            <w:tcW w:w="874" w:type="dxa"/>
            <w:noWrap/>
            <w:hideMark/>
          </w:tcPr>
          <w:p w14:paraId="5D7D6D3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36</w:t>
            </w:r>
          </w:p>
        </w:tc>
        <w:tc>
          <w:tcPr>
            <w:tcW w:w="498" w:type="dxa"/>
            <w:noWrap/>
            <w:hideMark/>
          </w:tcPr>
          <w:p w14:paraId="2FD3A77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65CBEA2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1.260,00 </w:t>
            </w:r>
          </w:p>
        </w:tc>
        <w:tc>
          <w:tcPr>
            <w:tcW w:w="656" w:type="dxa"/>
            <w:noWrap/>
            <w:hideMark/>
          </w:tcPr>
          <w:p w14:paraId="5AE1B76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110,88 </w:t>
            </w:r>
          </w:p>
        </w:tc>
        <w:tc>
          <w:tcPr>
            <w:tcW w:w="544" w:type="dxa"/>
            <w:noWrap/>
            <w:hideMark/>
          </w:tcPr>
          <w:p w14:paraId="2046965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4,41 </w:t>
            </w:r>
          </w:p>
        </w:tc>
        <w:tc>
          <w:tcPr>
            <w:tcW w:w="820" w:type="dxa"/>
            <w:noWrap/>
            <w:hideMark/>
          </w:tcPr>
          <w:p w14:paraId="4F02FF05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 1.144,71 </w:t>
            </w:r>
          </w:p>
        </w:tc>
        <w:tc>
          <w:tcPr>
            <w:tcW w:w="686" w:type="dxa"/>
            <w:noWrap/>
            <w:hideMark/>
          </w:tcPr>
          <w:p w14:paraId="40FE341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309,07 </w:t>
            </w:r>
          </w:p>
        </w:tc>
        <w:tc>
          <w:tcPr>
            <w:tcW w:w="686" w:type="dxa"/>
            <w:noWrap/>
            <w:hideMark/>
          </w:tcPr>
          <w:p w14:paraId="73221972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835,64 </w:t>
            </w:r>
          </w:p>
        </w:tc>
        <w:tc>
          <w:tcPr>
            <w:tcW w:w="686" w:type="dxa"/>
            <w:noWrap/>
            <w:hideMark/>
          </w:tcPr>
          <w:p w14:paraId="7E370D3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107,10 </w:t>
            </w:r>
          </w:p>
        </w:tc>
        <w:tc>
          <w:tcPr>
            <w:tcW w:w="1157" w:type="dxa"/>
            <w:noWrap/>
            <w:hideMark/>
          </w:tcPr>
          <w:p w14:paraId="2103F3D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304,92 </w:t>
            </w:r>
          </w:p>
        </w:tc>
        <w:tc>
          <w:tcPr>
            <w:tcW w:w="776" w:type="dxa"/>
            <w:noWrap/>
            <w:hideMark/>
          </w:tcPr>
          <w:p w14:paraId="2FAE63B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1.672,02 </w:t>
            </w:r>
          </w:p>
        </w:tc>
      </w:tr>
      <w:tr w:rsidR="009F63CD" w:rsidRPr="009F63CD" w14:paraId="76B823BE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1B8C9D2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MARRA</w:t>
            </w:r>
          </w:p>
          <w:p w14:paraId="7C75258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BARBARA</w:t>
            </w:r>
          </w:p>
        </w:tc>
        <w:tc>
          <w:tcPr>
            <w:tcW w:w="874" w:type="dxa"/>
            <w:noWrap/>
            <w:hideMark/>
          </w:tcPr>
          <w:p w14:paraId="352D6F6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2B17A7A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45874DF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420,00 </w:t>
            </w:r>
          </w:p>
        </w:tc>
        <w:tc>
          <w:tcPr>
            <w:tcW w:w="656" w:type="dxa"/>
            <w:noWrap/>
            <w:hideMark/>
          </w:tcPr>
          <w:p w14:paraId="72C7D612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36,96 </w:t>
            </w:r>
          </w:p>
        </w:tc>
        <w:tc>
          <w:tcPr>
            <w:tcW w:w="544" w:type="dxa"/>
            <w:noWrap/>
            <w:hideMark/>
          </w:tcPr>
          <w:p w14:paraId="776C77B5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1,47 </w:t>
            </w:r>
          </w:p>
        </w:tc>
        <w:tc>
          <w:tcPr>
            <w:tcW w:w="820" w:type="dxa"/>
            <w:noWrap/>
            <w:hideMark/>
          </w:tcPr>
          <w:p w14:paraId="17394EA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381,57 </w:t>
            </w:r>
          </w:p>
        </w:tc>
        <w:tc>
          <w:tcPr>
            <w:tcW w:w="686" w:type="dxa"/>
            <w:noWrap/>
            <w:hideMark/>
          </w:tcPr>
          <w:p w14:paraId="0C8BCFF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103,02 </w:t>
            </w:r>
          </w:p>
        </w:tc>
        <w:tc>
          <w:tcPr>
            <w:tcW w:w="686" w:type="dxa"/>
            <w:noWrap/>
            <w:hideMark/>
          </w:tcPr>
          <w:p w14:paraId="6AB5E20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278,55 </w:t>
            </w:r>
          </w:p>
        </w:tc>
        <w:tc>
          <w:tcPr>
            <w:tcW w:w="686" w:type="dxa"/>
            <w:noWrap/>
            <w:hideMark/>
          </w:tcPr>
          <w:p w14:paraId="5EAD7305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35,70 </w:t>
            </w:r>
          </w:p>
        </w:tc>
        <w:tc>
          <w:tcPr>
            <w:tcW w:w="1157" w:type="dxa"/>
            <w:noWrap/>
            <w:hideMark/>
          </w:tcPr>
          <w:p w14:paraId="3F227B6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101,64 </w:t>
            </w:r>
          </w:p>
        </w:tc>
        <w:tc>
          <w:tcPr>
            <w:tcW w:w="776" w:type="dxa"/>
            <w:noWrap/>
            <w:hideMark/>
          </w:tcPr>
          <w:p w14:paraId="28E5108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557,34 </w:t>
            </w:r>
          </w:p>
        </w:tc>
      </w:tr>
      <w:tr w:rsidR="009F63CD" w:rsidRPr="009F63CD" w14:paraId="012CF390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1140374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TRIFILIO</w:t>
            </w:r>
          </w:p>
          <w:p w14:paraId="679526A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MARIA</w:t>
            </w:r>
          </w:p>
        </w:tc>
        <w:tc>
          <w:tcPr>
            <w:tcW w:w="874" w:type="dxa"/>
            <w:noWrap/>
            <w:hideMark/>
          </w:tcPr>
          <w:p w14:paraId="5FF8FE0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36</w:t>
            </w:r>
          </w:p>
        </w:tc>
        <w:tc>
          <w:tcPr>
            <w:tcW w:w="498" w:type="dxa"/>
            <w:noWrap/>
            <w:hideMark/>
          </w:tcPr>
          <w:p w14:paraId="6E3559A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0FBE68F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1.260,00 </w:t>
            </w:r>
          </w:p>
        </w:tc>
        <w:tc>
          <w:tcPr>
            <w:tcW w:w="656" w:type="dxa"/>
            <w:noWrap/>
            <w:hideMark/>
          </w:tcPr>
          <w:p w14:paraId="16CC9B6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110,88 </w:t>
            </w:r>
          </w:p>
        </w:tc>
        <w:tc>
          <w:tcPr>
            <w:tcW w:w="544" w:type="dxa"/>
            <w:noWrap/>
            <w:hideMark/>
          </w:tcPr>
          <w:p w14:paraId="42736F1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4,41 </w:t>
            </w:r>
          </w:p>
        </w:tc>
        <w:tc>
          <w:tcPr>
            <w:tcW w:w="820" w:type="dxa"/>
            <w:noWrap/>
            <w:hideMark/>
          </w:tcPr>
          <w:p w14:paraId="61791AD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1.144,71 </w:t>
            </w:r>
          </w:p>
        </w:tc>
        <w:tc>
          <w:tcPr>
            <w:tcW w:w="686" w:type="dxa"/>
            <w:noWrap/>
            <w:hideMark/>
          </w:tcPr>
          <w:p w14:paraId="7E08B73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309,07 </w:t>
            </w:r>
          </w:p>
        </w:tc>
        <w:tc>
          <w:tcPr>
            <w:tcW w:w="686" w:type="dxa"/>
            <w:noWrap/>
            <w:hideMark/>
          </w:tcPr>
          <w:p w14:paraId="2F69FA3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835,64 </w:t>
            </w:r>
          </w:p>
        </w:tc>
        <w:tc>
          <w:tcPr>
            <w:tcW w:w="686" w:type="dxa"/>
            <w:noWrap/>
            <w:hideMark/>
          </w:tcPr>
          <w:p w14:paraId="0FB12192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107,10 </w:t>
            </w:r>
          </w:p>
        </w:tc>
        <w:tc>
          <w:tcPr>
            <w:tcW w:w="1157" w:type="dxa"/>
            <w:noWrap/>
            <w:hideMark/>
          </w:tcPr>
          <w:p w14:paraId="19618EB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304,92 </w:t>
            </w:r>
          </w:p>
        </w:tc>
        <w:tc>
          <w:tcPr>
            <w:tcW w:w="776" w:type="dxa"/>
            <w:noWrap/>
            <w:hideMark/>
          </w:tcPr>
          <w:p w14:paraId="4EADEB6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1.672,02 </w:t>
            </w:r>
          </w:p>
        </w:tc>
      </w:tr>
      <w:tr w:rsidR="009F63CD" w:rsidRPr="009F63CD" w14:paraId="18F0F730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34889BA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GAUDIO MICHELE</w:t>
            </w:r>
          </w:p>
        </w:tc>
        <w:tc>
          <w:tcPr>
            <w:tcW w:w="874" w:type="dxa"/>
            <w:noWrap/>
            <w:hideMark/>
          </w:tcPr>
          <w:p w14:paraId="77C916C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36</w:t>
            </w:r>
          </w:p>
        </w:tc>
        <w:tc>
          <w:tcPr>
            <w:tcW w:w="498" w:type="dxa"/>
            <w:noWrap/>
            <w:hideMark/>
          </w:tcPr>
          <w:p w14:paraId="787CFC2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6DE2F4A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1.260,00 </w:t>
            </w:r>
          </w:p>
        </w:tc>
        <w:tc>
          <w:tcPr>
            <w:tcW w:w="656" w:type="dxa"/>
            <w:noWrap/>
            <w:hideMark/>
          </w:tcPr>
          <w:p w14:paraId="36D1A92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110,88 </w:t>
            </w:r>
          </w:p>
        </w:tc>
        <w:tc>
          <w:tcPr>
            <w:tcW w:w="544" w:type="dxa"/>
            <w:noWrap/>
            <w:hideMark/>
          </w:tcPr>
          <w:p w14:paraId="245407D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4,41 </w:t>
            </w:r>
          </w:p>
        </w:tc>
        <w:tc>
          <w:tcPr>
            <w:tcW w:w="820" w:type="dxa"/>
            <w:noWrap/>
            <w:hideMark/>
          </w:tcPr>
          <w:p w14:paraId="46BD19B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1.144,71 </w:t>
            </w:r>
          </w:p>
        </w:tc>
        <w:tc>
          <w:tcPr>
            <w:tcW w:w="686" w:type="dxa"/>
            <w:noWrap/>
            <w:hideMark/>
          </w:tcPr>
          <w:p w14:paraId="5F91840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309,07 </w:t>
            </w:r>
          </w:p>
        </w:tc>
        <w:tc>
          <w:tcPr>
            <w:tcW w:w="686" w:type="dxa"/>
            <w:noWrap/>
            <w:hideMark/>
          </w:tcPr>
          <w:p w14:paraId="6C832A5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835,64 </w:t>
            </w:r>
          </w:p>
        </w:tc>
        <w:tc>
          <w:tcPr>
            <w:tcW w:w="686" w:type="dxa"/>
            <w:noWrap/>
            <w:hideMark/>
          </w:tcPr>
          <w:p w14:paraId="7EFBC94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107,10 </w:t>
            </w:r>
          </w:p>
        </w:tc>
        <w:tc>
          <w:tcPr>
            <w:tcW w:w="1157" w:type="dxa"/>
            <w:noWrap/>
            <w:hideMark/>
          </w:tcPr>
          <w:p w14:paraId="1C65B73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304,92 </w:t>
            </w:r>
          </w:p>
        </w:tc>
        <w:tc>
          <w:tcPr>
            <w:tcW w:w="776" w:type="dxa"/>
            <w:noWrap/>
            <w:hideMark/>
          </w:tcPr>
          <w:p w14:paraId="053337D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1.672,02 </w:t>
            </w:r>
          </w:p>
        </w:tc>
      </w:tr>
      <w:tr w:rsidR="009F63CD" w:rsidRPr="009F63CD" w14:paraId="1E49C561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6F47B0F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DITO MARIA LINA</w:t>
            </w:r>
          </w:p>
        </w:tc>
        <w:tc>
          <w:tcPr>
            <w:tcW w:w="874" w:type="dxa"/>
            <w:noWrap/>
            <w:hideMark/>
          </w:tcPr>
          <w:p w14:paraId="2C5E0832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20</w:t>
            </w:r>
          </w:p>
        </w:tc>
        <w:tc>
          <w:tcPr>
            <w:tcW w:w="498" w:type="dxa"/>
            <w:noWrap/>
            <w:hideMark/>
          </w:tcPr>
          <w:p w14:paraId="2E6D2CD3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35</w:t>
            </w:r>
          </w:p>
        </w:tc>
        <w:tc>
          <w:tcPr>
            <w:tcW w:w="857" w:type="dxa"/>
            <w:noWrap/>
            <w:hideMark/>
          </w:tcPr>
          <w:p w14:paraId="2D5D5925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700,00 </w:t>
            </w:r>
          </w:p>
        </w:tc>
        <w:tc>
          <w:tcPr>
            <w:tcW w:w="656" w:type="dxa"/>
            <w:noWrap/>
            <w:hideMark/>
          </w:tcPr>
          <w:p w14:paraId="7131A6A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           61,60 </w:t>
            </w:r>
          </w:p>
        </w:tc>
        <w:tc>
          <w:tcPr>
            <w:tcW w:w="544" w:type="dxa"/>
            <w:noWrap/>
            <w:hideMark/>
          </w:tcPr>
          <w:p w14:paraId="18D30FB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2,45 </w:t>
            </w:r>
          </w:p>
        </w:tc>
        <w:tc>
          <w:tcPr>
            <w:tcW w:w="820" w:type="dxa"/>
            <w:noWrap/>
            <w:hideMark/>
          </w:tcPr>
          <w:p w14:paraId="740E980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635,95 </w:t>
            </w:r>
          </w:p>
        </w:tc>
        <w:tc>
          <w:tcPr>
            <w:tcW w:w="686" w:type="dxa"/>
            <w:noWrap/>
            <w:hideMark/>
          </w:tcPr>
          <w:p w14:paraId="6EEC09E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171,71 </w:t>
            </w:r>
          </w:p>
        </w:tc>
        <w:tc>
          <w:tcPr>
            <w:tcW w:w="686" w:type="dxa"/>
            <w:noWrap/>
            <w:hideMark/>
          </w:tcPr>
          <w:p w14:paraId="7043F0F3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464,24 </w:t>
            </w:r>
          </w:p>
        </w:tc>
        <w:tc>
          <w:tcPr>
            <w:tcW w:w="686" w:type="dxa"/>
            <w:noWrap/>
            <w:hideMark/>
          </w:tcPr>
          <w:p w14:paraId="797F8FF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59,50 </w:t>
            </w:r>
          </w:p>
        </w:tc>
        <w:tc>
          <w:tcPr>
            <w:tcW w:w="1157" w:type="dxa"/>
            <w:noWrap/>
            <w:hideMark/>
          </w:tcPr>
          <w:p w14:paraId="2DC3C48A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169,40 </w:t>
            </w:r>
          </w:p>
        </w:tc>
        <w:tc>
          <w:tcPr>
            <w:tcW w:w="776" w:type="dxa"/>
            <w:noWrap/>
            <w:hideMark/>
          </w:tcPr>
          <w:p w14:paraId="4A579DB3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928,90 </w:t>
            </w:r>
          </w:p>
        </w:tc>
      </w:tr>
      <w:tr w:rsidR="009F63CD" w:rsidRPr="009F63CD" w14:paraId="132700E5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0F25DC8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DIRIGENTE</w:t>
            </w:r>
          </w:p>
          <w:p w14:paraId="3A8ADD8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BARBARELLO P</w:t>
            </w:r>
          </w:p>
        </w:tc>
        <w:tc>
          <w:tcPr>
            <w:tcW w:w="874" w:type="dxa"/>
            <w:noWrap/>
            <w:hideMark/>
          </w:tcPr>
          <w:p w14:paraId="7C6212E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10,05</w:t>
            </w:r>
          </w:p>
        </w:tc>
        <w:tc>
          <w:tcPr>
            <w:tcW w:w="498" w:type="dxa"/>
            <w:noWrap/>
            <w:hideMark/>
          </w:tcPr>
          <w:p w14:paraId="597C4052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25</w:t>
            </w:r>
          </w:p>
        </w:tc>
        <w:tc>
          <w:tcPr>
            <w:tcW w:w="857" w:type="dxa"/>
            <w:noWrap/>
            <w:hideMark/>
          </w:tcPr>
          <w:p w14:paraId="0EBC755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251,09 </w:t>
            </w:r>
          </w:p>
        </w:tc>
        <w:tc>
          <w:tcPr>
            <w:tcW w:w="656" w:type="dxa"/>
            <w:noWrap/>
            <w:hideMark/>
          </w:tcPr>
          <w:p w14:paraId="6EED4AA3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22,10 </w:t>
            </w:r>
          </w:p>
        </w:tc>
        <w:tc>
          <w:tcPr>
            <w:tcW w:w="544" w:type="dxa"/>
            <w:noWrap/>
            <w:hideMark/>
          </w:tcPr>
          <w:p w14:paraId="2055417C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0,88 </w:t>
            </w:r>
          </w:p>
        </w:tc>
        <w:tc>
          <w:tcPr>
            <w:tcW w:w="820" w:type="dxa"/>
            <w:noWrap/>
            <w:hideMark/>
          </w:tcPr>
          <w:p w14:paraId="01BDE5AD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228,11 </w:t>
            </w:r>
          </w:p>
        </w:tc>
        <w:tc>
          <w:tcPr>
            <w:tcW w:w="686" w:type="dxa"/>
            <w:noWrap/>
            <w:hideMark/>
          </w:tcPr>
          <w:p w14:paraId="6D20D71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86,68 </w:t>
            </w:r>
          </w:p>
        </w:tc>
        <w:tc>
          <w:tcPr>
            <w:tcW w:w="686" w:type="dxa"/>
            <w:noWrap/>
            <w:hideMark/>
          </w:tcPr>
          <w:p w14:paraId="1FE884DF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141,43 </w:t>
            </w:r>
          </w:p>
        </w:tc>
        <w:tc>
          <w:tcPr>
            <w:tcW w:w="686" w:type="dxa"/>
            <w:noWrap/>
            <w:hideMark/>
          </w:tcPr>
          <w:p w14:paraId="363E1EA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21,34 </w:t>
            </w:r>
          </w:p>
        </w:tc>
        <w:tc>
          <w:tcPr>
            <w:tcW w:w="1157" w:type="dxa"/>
            <w:noWrap/>
            <w:hideMark/>
          </w:tcPr>
          <w:p w14:paraId="0829C223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 60,76 </w:t>
            </w:r>
          </w:p>
        </w:tc>
        <w:tc>
          <w:tcPr>
            <w:tcW w:w="776" w:type="dxa"/>
            <w:noWrap/>
            <w:hideMark/>
          </w:tcPr>
          <w:p w14:paraId="45095C4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333,20 </w:t>
            </w:r>
          </w:p>
        </w:tc>
      </w:tr>
      <w:tr w:rsidR="009F63CD" w:rsidRPr="009F63CD" w14:paraId="563A5409" w14:textId="77777777" w:rsidTr="005B620C">
        <w:trPr>
          <w:trHeight w:val="330"/>
        </w:trPr>
        <w:tc>
          <w:tcPr>
            <w:tcW w:w="1388" w:type="dxa"/>
            <w:noWrap/>
            <w:hideMark/>
          </w:tcPr>
          <w:p w14:paraId="5A59FB8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DSGA</w:t>
            </w:r>
          </w:p>
          <w:p w14:paraId="49133592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>SERRA F.</w:t>
            </w:r>
          </w:p>
        </w:tc>
        <w:tc>
          <w:tcPr>
            <w:tcW w:w="874" w:type="dxa"/>
            <w:noWrap/>
            <w:hideMark/>
          </w:tcPr>
          <w:p w14:paraId="00FAFF7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30</w:t>
            </w:r>
          </w:p>
        </w:tc>
        <w:tc>
          <w:tcPr>
            <w:tcW w:w="498" w:type="dxa"/>
            <w:noWrap/>
            <w:hideMark/>
          </w:tcPr>
          <w:p w14:paraId="3827B234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>18,5</w:t>
            </w:r>
          </w:p>
        </w:tc>
        <w:tc>
          <w:tcPr>
            <w:tcW w:w="857" w:type="dxa"/>
            <w:noWrap/>
            <w:hideMark/>
          </w:tcPr>
          <w:p w14:paraId="65EC4849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555,01 </w:t>
            </w:r>
          </w:p>
        </w:tc>
        <w:tc>
          <w:tcPr>
            <w:tcW w:w="656" w:type="dxa"/>
            <w:noWrap/>
            <w:hideMark/>
          </w:tcPr>
          <w:p w14:paraId="349E043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48,84 </w:t>
            </w:r>
          </w:p>
        </w:tc>
        <w:tc>
          <w:tcPr>
            <w:tcW w:w="544" w:type="dxa"/>
            <w:noWrap/>
            <w:hideMark/>
          </w:tcPr>
          <w:p w14:paraId="2D13A651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1,94 </w:t>
            </w:r>
          </w:p>
        </w:tc>
        <w:tc>
          <w:tcPr>
            <w:tcW w:w="820" w:type="dxa"/>
            <w:noWrap/>
            <w:hideMark/>
          </w:tcPr>
          <w:p w14:paraId="65E03516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504,23 </w:t>
            </w:r>
          </w:p>
        </w:tc>
        <w:tc>
          <w:tcPr>
            <w:tcW w:w="686" w:type="dxa"/>
            <w:noWrap/>
            <w:hideMark/>
          </w:tcPr>
          <w:p w14:paraId="656167A7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136,14 </w:t>
            </w:r>
          </w:p>
        </w:tc>
        <w:tc>
          <w:tcPr>
            <w:tcW w:w="686" w:type="dxa"/>
            <w:noWrap/>
            <w:hideMark/>
          </w:tcPr>
          <w:p w14:paraId="64D269A0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  368,09 </w:t>
            </w:r>
          </w:p>
        </w:tc>
        <w:tc>
          <w:tcPr>
            <w:tcW w:w="686" w:type="dxa"/>
            <w:noWrap/>
            <w:hideMark/>
          </w:tcPr>
          <w:p w14:paraId="772B17E8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 47,18 </w:t>
            </w:r>
          </w:p>
        </w:tc>
        <w:tc>
          <w:tcPr>
            <w:tcW w:w="1157" w:type="dxa"/>
            <w:noWrap/>
            <w:hideMark/>
          </w:tcPr>
          <w:p w14:paraId="4B4117FE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€               134,31 </w:t>
            </w:r>
          </w:p>
        </w:tc>
        <w:tc>
          <w:tcPr>
            <w:tcW w:w="776" w:type="dxa"/>
            <w:noWrap/>
            <w:hideMark/>
          </w:tcPr>
          <w:p w14:paraId="1B4236BB" w14:textId="77777777" w:rsidR="00845BD4" w:rsidRPr="00845BD4" w:rsidRDefault="00845BD4" w:rsidP="00845BD4">
            <w:pPr>
              <w:suppressAutoHyphens w:val="0"/>
              <w:overflowPunct/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845BD4">
              <w:rPr>
                <w:rFonts w:ascii="Times New Roman" w:eastAsiaTheme="minorHAnsi" w:hAnsi="Times New Roman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€         736,50 </w:t>
            </w:r>
          </w:p>
        </w:tc>
      </w:tr>
    </w:tbl>
    <w:p w14:paraId="5F5355ED" w14:textId="0F54BB30" w:rsidR="00B15021" w:rsidRPr="009F63CD" w:rsidRDefault="005B620C" w:rsidP="009F63C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F63CD">
        <w:rPr>
          <w:rFonts w:ascii="Times New Roman" w:hAnsi="Times New Roman" w:cs="Times New Roman"/>
        </w:rPr>
        <w:t>Il DSGA è invitato a predisporre tutti gli atti consequenziali necessari a liquidare i compensi in premessa.</w:t>
      </w:r>
    </w:p>
    <w:p w14:paraId="46672FEA" w14:textId="73002351" w:rsidR="00326F8F" w:rsidRPr="009F63CD" w:rsidRDefault="00326F8F" w:rsidP="00326F8F">
      <w:pPr>
        <w:jc w:val="right"/>
        <w:rPr>
          <w:rFonts w:ascii="Times New Roman" w:hAnsi="Times New Roman" w:cs="Times New Roman"/>
          <w:b/>
          <w:bCs/>
        </w:rPr>
      </w:pPr>
      <w:r w:rsidRPr="009F63CD">
        <w:rPr>
          <w:rFonts w:ascii="Times New Roman" w:hAnsi="Times New Roman" w:cs="Times New Roman"/>
          <w:b/>
          <w:bCs/>
        </w:rPr>
        <w:t xml:space="preserve"> IL DIRIGENTE SCOLASTICO</w:t>
      </w:r>
    </w:p>
    <w:p w14:paraId="7FA60B08" w14:textId="77777777" w:rsidR="00326F8F" w:rsidRPr="009F63CD" w:rsidRDefault="00326F8F" w:rsidP="00326F8F">
      <w:pPr>
        <w:jc w:val="right"/>
        <w:rPr>
          <w:rFonts w:ascii="Times New Roman" w:hAnsi="Times New Roman" w:cs="Times New Roman"/>
        </w:rPr>
      </w:pPr>
      <w:r w:rsidRPr="009F63CD">
        <w:rPr>
          <w:rFonts w:ascii="Times New Roman" w:hAnsi="Times New Roman" w:cs="Times New Roman"/>
        </w:rPr>
        <w:t xml:space="preserve">Patrizia </w:t>
      </w:r>
      <w:proofErr w:type="spellStart"/>
      <w:r w:rsidRPr="009F63CD">
        <w:rPr>
          <w:rFonts w:ascii="Times New Roman" w:hAnsi="Times New Roman" w:cs="Times New Roman"/>
        </w:rPr>
        <w:t>Barbarello</w:t>
      </w:r>
      <w:proofErr w:type="spellEnd"/>
    </w:p>
    <w:p w14:paraId="74EB166F" w14:textId="77777777" w:rsidR="00AE5450" w:rsidRPr="009F63CD" w:rsidRDefault="00326F8F" w:rsidP="00326F8F">
      <w:pPr>
        <w:jc w:val="right"/>
        <w:rPr>
          <w:rFonts w:ascii="Times New Roman" w:hAnsi="Times New Roman" w:cs="Times New Roman"/>
          <w:sz w:val="16"/>
          <w:szCs w:val="16"/>
        </w:rPr>
      </w:pPr>
      <w:r w:rsidRPr="009F63CD">
        <w:rPr>
          <w:rFonts w:ascii="Times New Roman" w:hAnsi="Times New Roman" w:cs="Times New Roman"/>
          <w:sz w:val="16"/>
          <w:szCs w:val="16"/>
        </w:rPr>
        <w:t xml:space="preserve">Documento firmato digitalmente </w:t>
      </w:r>
    </w:p>
    <w:p w14:paraId="386FBC4E" w14:textId="219BE69F" w:rsidR="00326F8F" w:rsidRPr="009F63CD" w:rsidRDefault="00326F8F" w:rsidP="00326F8F">
      <w:pPr>
        <w:jc w:val="right"/>
        <w:rPr>
          <w:rFonts w:ascii="Times New Roman" w:hAnsi="Times New Roman" w:cs="Times New Roman"/>
          <w:sz w:val="16"/>
          <w:szCs w:val="16"/>
        </w:rPr>
      </w:pPr>
      <w:r w:rsidRPr="009F63CD">
        <w:rPr>
          <w:rFonts w:ascii="Times New Roman" w:hAnsi="Times New Roman" w:cs="Times New Roman"/>
          <w:sz w:val="16"/>
          <w:szCs w:val="16"/>
        </w:rPr>
        <w:t>ai sensi del C.A.D. e normativa connessa</w:t>
      </w:r>
    </w:p>
    <w:sectPr w:rsidR="00326F8F" w:rsidRPr="009F6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28"/>
    <w:rsid w:val="00057B68"/>
    <w:rsid w:val="0015561B"/>
    <w:rsid w:val="001F2FF4"/>
    <w:rsid w:val="002A70D5"/>
    <w:rsid w:val="002F6680"/>
    <w:rsid w:val="00326F8F"/>
    <w:rsid w:val="0036620C"/>
    <w:rsid w:val="00417056"/>
    <w:rsid w:val="00435BF8"/>
    <w:rsid w:val="00455243"/>
    <w:rsid w:val="005142A4"/>
    <w:rsid w:val="005832FF"/>
    <w:rsid w:val="005B620C"/>
    <w:rsid w:val="00845BD4"/>
    <w:rsid w:val="008520BF"/>
    <w:rsid w:val="008533A3"/>
    <w:rsid w:val="008A1E59"/>
    <w:rsid w:val="008C22DA"/>
    <w:rsid w:val="009F63CD"/>
    <w:rsid w:val="00AE5450"/>
    <w:rsid w:val="00B15021"/>
    <w:rsid w:val="00B84981"/>
    <w:rsid w:val="00BB649B"/>
    <w:rsid w:val="00BD6445"/>
    <w:rsid w:val="00CB390A"/>
    <w:rsid w:val="00D32828"/>
    <w:rsid w:val="00E30121"/>
    <w:rsid w:val="00E53850"/>
    <w:rsid w:val="00F4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B0E5"/>
  <w15:chartTrackingRefBased/>
  <w15:docId w15:val="{4E6AB508-C68C-4F40-9A97-9B900FDD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828"/>
    <w:pPr>
      <w:suppressAutoHyphens/>
      <w:overflowPunct w:val="0"/>
      <w:spacing w:after="0" w:line="240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qFormat/>
    <w:rsid w:val="00D32828"/>
    <w:rPr>
      <w:color w:val="0563C1"/>
      <w:u w:val="single"/>
    </w:rPr>
  </w:style>
  <w:style w:type="paragraph" w:customStyle="1" w:styleId="Contenutotabella">
    <w:name w:val="Contenuto tabella"/>
    <w:basedOn w:val="Normale"/>
    <w:qFormat/>
    <w:rsid w:val="00D32828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1F2F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FF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F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4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icdiamante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Franca Serra</cp:lastModifiedBy>
  <cp:revision>4</cp:revision>
  <dcterms:created xsi:type="dcterms:W3CDTF">2022-03-18T07:51:00Z</dcterms:created>
  <dcterms:modified xsi:type="dcterms:W3CDTF">2022-03-18T09:46:00Z</dcterms:modified>
</cp:coreProperties>
</file>