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34D7" w14:textId="77777777" w:rsidR="00462B8C" w:rsidRPr="00462B8C" w:rsidRDefault="00462B8C" w:rsidP="00462B8C">
      <w:pPr>
        <w:shd w:val="clear" w:color="auto" w:fill="F2F7FC"/>
        <w:spacing w:before="360" w:after="360" w:line="240" w:lineRule="auto"/>
        <w:jc w:val="center"/>
        <w:outlineLvl w:val="0"/>
        <w:rPr>
          <w:rFonts w:ascii="Titillium Web" w:eastAsia="Times New Roman" w:hAnsi="Titillium Web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b/>
          <w:bCs/>
          <w:kern w:val="36"/>
          <w:sz w:val="48"/>
          <w:szCs w:val="48"/>
          <w:lang w:eastAsia="it-IT"/>
          <w14:ligatures w14:val="none"/>
        </w:rPr>
        <w:t>A. Nuove indicazioni nazionali</w:t>
      </w:r>
    </w:p>
    <w:p w14:paraId="30C7FFFC" w14:textId="77777777" w:rsidR="00462B8C" w:rsidRPr="00462B8C" w:rsidRDefault="00462B8C" w:rsidP="00462B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b/>
          <w:bCs/>
          <w:color w:val="444444"/>
          <w:kern w:val="0"/>
          <w:sz w:val="27"/>
          <w:szCs w:val="27"/>
          <w:lang w:eastAsia="it-IT"/>
          <w14:ligatures w14:val="none"/>
        </w:rPr>
        <w:t>(*)</w:t>
      </w: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 </w:t>
      </w:r>
      <w:r w:rsidRPr="00462B8C">
        <w:rPr>
          <w:rFonts w:ascii="Titillium Web" w:eastAsia="Times New Roman" w:hAnsi="Titillium Web" w:cs="Times New Roman"/>
          <w:i/>
          <w:iCs/>
          <w:color w:val="444444"/>
          <w:kern w:val="0"/>
          <w:sz w:val="27"/>
          <w:szCs w:val="27"/>
          <w:lang w:eastAsia="it-IT"/>
          <w14:ligatures w14:val="none"/>
        </w:rPr>
        <w:t>1. Modalità di compilazione</w:t>
      </w: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br/>
      </w: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highlight w:val="yellow"/>
          <w:lang w:eastAsia="it-IT"/>
          <w14:ligatures w14:val="none"/>
        </w:rPr>
        <w:t>Il questionario viene compilato da:</w:t>
      </w:r>
    </w:p>
    <w:p w14:paraId="03B44543" w14:textId="77777777" w:rsidR="00462B8C" w:rsidRPr="00462B8C" w:rsidRDefault="00462B8C" w:rsidP="00462B8C">
      <w:pPr>
        <w:shd w:val="clear" w:color="auto" w:fill="FFFFFF"/>
        <w:spacing w:after="120" w:line="240" w:lineRule="auto"/>
        <w:rPr>
          <w:rFonts w:ascii="Titillium Web" w:eastAsia="Times New Roman" w:hAnsi="Titillium Web" w:cs="Times New Roman"/>
          <w:b/>
          <w:bCs/>
          <w:color w:val="A94442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b/>
          <w:bCs/>
          <w:color w:val="A94442"/>
          <w:kern w:val="0"/>
          <w:sz w:val="27"/>
          <w:szCs w:val="27"/>
          <w:lang w:eastAsia="it-IT"/>
          <w14:ligatures w14:val="none"/>
        </w:rPr>
        <w:t> Domanda obbligatoria</w:t>
      </w:r>
    </w:p>
    <w:p w14:paraId="35D1BF3B" w14:textId="77777777" w:rsidR="00462B8C" w:rsidRPr="00462B8C" w:rsidRDefault="00462B8C" w:rsidP="00462B8C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Da un gruppo degli insegnanti su mandato del collegio dei docenti</w:t>
      </w:r>
    </w:p>
    <w:p w14:paraId="4AA2147F" w14:textId="77777777" w:rsidR="00462B8C" w:rsidRPr="00462B8C" w:rsidRDefault="00462B8C" w:rsidP="00462B8C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Dal dirigente e/o dal suo staff</w:t>
      </w:r>
    </w:p>
    <w:p w14:paraId="46F932B7" w14:textId="77777777" w:rsidR="00462B8C" w:rsidRPr="00462B8C" w:rsidRDefault="00462B8C" w:rsidP="00462B8C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Da un gruppo informale di docenti</w:t>
      </w:r>
    </w:p>
    <w:p w14:paraId="611B6381" w14:textId="77777777" w:rsidR="00462B8C" w:rsidRPr="00462B8C" w:rsidRDefault="00462B8C" w:rsidP="00462B8C">
      <w:pPr>
        <w:numPr>
          <w:ilvl w:val="0"/>
          <w:numId w:val="1"/>
        </w:numPr>
        <w:shd w:val="clear" w:color="auto" w:fill="FFFFFF"/>
        <w:spacing w:line="240" w:lineRule="auto"/>
        <w:ind w:left="270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Nessuna risposta</w:t>
      </w:r>
    </w:p>
    <w:p w14:paraId="72C54193" w14:textId="77777777" w:rsidR="00462B8C" w:rsidRPr="00462B8C" w:rsidRDefault="00462B8C" w:rsidP="00462B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b/>
          <w:bCs/>
          <w:color w:val="444444"/>
          <w:kern w:val="0"/>
          <w:sz w:val="27"/>
          <w:szCs w:val="27"/>
          <w:lang w:eastAsia="it-IT"/>
          <w14:ligatures w14:val="none"/>
        </w:rPr>
        <w:t>(*)</w:t>
      </w: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 </w:t>
      </w:r>
      <w:r w:rsidRPr="00462B8C">
        <w:rPr>
          <w:rFonts w:ascii="Titillium Web" w:eastAsia="Times New Roman" w:hAnsi="Titillium Web" w:cs="Times New Roman"/>
          <w:i/>
          <w:iCs/>
          <w:color w:val="444444"/>
          <w:kern w:val="0"/>
          <w:sz w:val="27"/>
          <w:szCs w:val="27"/>
          <w:lang w:eastAsia="it-IT"/>
          <w14:ligatures w14:val="none"/>
        </w:rPr>
        <w:t>2. Struttura del documento.</w:t>
      </w: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br/>
      </w: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highlight w:val="yellow"/>
          <w:lang w:eastAsia="it-IT"/>
          <w14:ligatures w14:val="none"/>
        </w:rPr>
        <w:t>L’impianto complessivo del testo (profilo dello studente, organizzazione del curricolo, scuola dell’infanzia, primo ciclo e relative discipline)</w:t>
      </w:r>
    </w:p>
    <w:p w14:paraId="14718BF5" w14:textId="77777777" w:rsidR="00462B8C" w:rsidRPr="00462B8C" w:rsidRDefault="00462B8C" w:rsidP="00462B8C">
      <w:pPr>
        <w:shd w:val="clear" w:color="auto" w:fill="FFFFFF"/>
        <w:spacing w:after="120" w:line="240" w:lineRule="auto"/>
        <w:rPr>
          <w:rFonts w:ascii="Titillium Web" w:eastAsia="Times New Roman" w:hAnsi="Titillium Web" w:cs="Times New Roman"/>
          <w:b/>
          <w:bCs/>
          <w:color w:val="A94442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b/>
          <w:bCs/>
          <w:color w:val="A94442"/>
          <w:kern w:val="0"/>
          <w:sz w:val="27"/>
          <w:szCs w:val="27"/>
          <w:lang w:eastAsia="it-IT"/>
          <w14:ligatures w14:val="none"/>
        </w:rPr>
        <w:t> Domanda obbligatoria</w:t>
      </w:r>
    </w:p>
    <w:p w14:paraId="6312EAAD" w14:textId="77777777" w:rsidR="00462B8C" w:rsidRPr="00462B8C" w:rsidRDefault="00462B8C" w:rsidP="00462B8C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Appare chiaro e leggibile</w:t>
      </w:r>
    </w:p>
    <w:p w14:paraId="67C1E349" w14:textId="77777777" w:rsidR="00462B8C" w:rsidRPr="00462B8C" w:rsidRDefault="00462B8C" w:rsidP="00462B8C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Alcune sezioni andrebbero meglio strutturate</w:t>
      </w:r>
    </w:p>
    <w:p w14:paraId="14394BB4" w14:textId="77777777" w:rsidR="00462B8C" w:rsidRPr="00462B8C" w:rsidRDefault="00462B8C" w:rsidP="00462B8C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Dovrebbe essere reso più sobrio ed essenziale</w:t>
      </w:r>
    </w:p>
    <w:p w14:paraId="7519E63E" w14:textId="77777777" w:rsidR="00462B8C" w:rsidRPr="00462B8C" w:rsidRDefault="00462B8C" w:rsidP="00462B8C">
      <w:pPr>
        <w:numPr>
          <w:ilvl w:val="0"/>
          <w:numId w:val="2"/>
        </w:numPr>
        <w:shd w:val="clear" w:color="auto" w:fill="FFFFFF"/>
        <w:spacing w:line="240" w:lineRule="auto"/>
        <w:ind w:left="270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Nessuna risposta</w:t>
      </w:r>
    </w:p>
    <w:p w14:paraId="7DA2DF04" w14:textId="77777777" w:rsidR="00462B8C" w:rsidRPr="00462B8C" w:rsidRDefault="00462B8C" w:rsidP="00462B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b/>
          <w:bCs/>
          <w:color w:val="444444"/>
          <w:kern w:val="0"/>
          <w:sz w:val="27"/>
          <w:szCs w:val="27"/>
          <w:lang w:eastAsia="it-IT"/>
          <w14:ligatures w14:val="none"/>
        </w:rPr>
        <w:t>(*)</w:t>
      </w: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 </w:t>
      </w:r>
      <w:r w:rsidRPr="00462B8C">
        <w:rPr>
          <w:rFonts w:ascii="Titillium Web" w:eastAsia="Times New Roman" w:hAnsi="Titillium Web" w:cs="Times New Roman"/>
          <w:i/>
          <w:iCs/>
          <w:color w:val="444444"/>
          <w:kern w:val="0"/>
          <w:sz w:val="27"/>
          <w:szCs w:val="27"/>
          <w:lang w:eastAsia="it-IT"/>
          <w14:ligatures w14:val="none"/>
        </w:rPr>
        <w:t>3. Finalità della scuola dell’infanzia e del primo ciclo e Profilo dello studente.</w:t>
      </w: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br/>
      </w: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highlight w:val="yellow"/>
          <w:lang w:eastAsia="it-IT"/>
          <w14:ligatures w14:val="none"/>
        </w:rPr>
        <w:t xml:space="preserve">Il Profilo dello studente è stato reso funzionale al D.M. 14 del 30 gennaio 2024, alla Raccomandazione Europea 4.6.2018 C 189/11, al Quadro comune di riferimento per la conoscenza delle lingue (QCER, 2020) e al Framework </w:t>
      </w:r>
      <w:proofErr w:type="spellStart"/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highlight w:val="yellow"/>
          <w:lang w:eastAsia="it-IT"/>
          <w14:ligatures w14:val="none"/>
        </w:rPr>
        <w:t>DigComp</w:t>
      </w:r>
      <w:proofErr w:type="spellEnd"/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highlight w:val="yellow"/>
          <w:lang w:eastAsia="it-IT"/>
          <w14:ligatures w14:val="none"/>
        </w:rPr>
        <w:t xml:space="preserve"> 2.2</w:t>
      </w:r>
    </w:p>
    <w:p w14:paraId="6C529E74" w14:textId="77777777" w:rsidR="00462B8C" w:rsidRPr="00462B8C" w:rsidRDefault="00462B8C" w:rsidP="00462B8C">
      <w:pPr>
        <w:shd w:val="clear" w:color="auto" w:fill="FFFFFF"/>
        <w:spacing w:after="120" w:line="240" w:lineRule="auto"/>
        <w:rPr>
          <w:rFonts w:ascii="Titillium Web" w:eastAsia="Times New Roman" w:hAnsi="Titillium Web" w:cs="Times New Roman"/>
          <w:b/>
          <w:bCs/>
          <w:color w:val="A94442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b/>
          <w:bCs/>
          <w:color w:val="A94442"/>
          <w:kern w:val="0"/>
          <w:sz w:val="27"/>
          <w:szCs w:val="27"/>
          <w:lang w:eastAsia="it-IT"/>
          <w14:ligatures w14:val="none"/>
        </w:rPr>
        <w:t> Domanda obbligatoria</w:t>
      </w:r>
    </w:p>
    <w:p w14:paraId="3895A7AD" w14:textId="77777777" w:rsidR="00462B8C" w:rsidRPr="00462B8C" w:rsidRDefault="00462B8C" w:rsidP="00462B8C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Condividiamo la scelta perché aggiorna il profilo con competenze che lo completano</w:t>
      </w:r>
    </w:p>
    <w:p w14:paraId="604E621A" w14:textId="77777777" w:rsidR="00462B8C" w:rsidRPr="00462B8C" w:rsidRDefault="00462B8C" w:rsidP="00462B8C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Condividiamo la scelta, ma andrebbe ridimensionato il riferimento alle competenze chiave europee</w:t>
      </w:r>
    </w:p>
    <w:p w14:paraId="3A165983" w14:textId="77777777" w:rsidR="00462B8C" w:rsidRPr="00462B8C" w:rsidRDefault="00462B8C" w:rsidP="00462B8C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Non condividiamo la scelta, perché il profilo resta troppo curvato sulle competenze chiave e andrebbe integrato con quelle disciplinari</w:t>
      </w:r>
    </w:p>
    <w:p w14:paraId="0674B6CF" w14:textId="77777777" w:rsidR="00462B8C" w:rsidRPr="00462B8C" w:rsidRDefault="00462B8C" w:rsidP="00462B8C">
      <w:pPr>
        <w:numPr>
          <w:ilvl w:val="0"/>
          <w:numId w:val="3"/>
        </w:numPr>
        <w:shd w:val="clear" w:color="auto" w:fill="FFFFFF"/>
        <w:spacing w:line="240" w:lineRule="auto"/>
        <w:ind w:left="270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Nessuna risposta</w:t>
      </w:r>
    </w:p>
    <w:p w14:paraId="4695C9DD" w14:textId="77777777" w:rsidR="00462B8C" w:rsidRPr="00462B8C" w:rsidRDefault="00462B8C" w:rsidP="00462B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b/>
          <w:bCs/>
          <w:color w:val="444444"/>
          <w:kern w:val="0"/>
          <w:sz w:val="27"/>
          <w:szCs w:val="27"/>
          <w:lang w:eastAsia="it-IT"/>
          <w14:ligatures w14:val="none"/>
        </w:rPr>
        <w:lastRenderedPageBreak/>
        <w:t>(*)</w:t>
      </w: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 </w:t>
      </w:r>
      <w:r w:rsidRPr="00462B8C">
        <w:rPr>
          <w:rFonts w:ascii="Titillium Web" w:eastAsia="Times New Roman" w:hAnsi="Titillium Web" w:cs="Times New Roman"/>
          <w:i/>
          <w:iCs/>
          <w:color w:val="444444"/>
          <w:kern w:val="0"/>
          <w:sz w:val="27"/>
          <w:szCs w:val="27"/>
          <w:lang w:eastAsia="it-IT"/>
          <w14:ligatures w14:val="none"/>
        </w:rPr>
        <w:t>4. Organizzazione del curricolo.</w:t>
      </w: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br/>
      </w: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highlight w:val="yellow"/>
          <w:lang w:eastAsia="it-IT"/>
          <w14:ligatures w14:val="none"/>
        </w:rPr>
        <w:t>Il paragrafo “L’organizzazione del curricolo” è stato ristrutturato per meglio evidenziare gli spazi di autonomia delle scuole</w:t>
      </w:r>
    </w:p>
    <w:p w14:paraId="7B6DF2A2" w14:textId="77777777" w:rsidR="00462B8C" w:rsidRPr="00462B8C" w:rsidRDefault="00462B8C" w:rsidP="00462B8C">
      <w:pPr>
        <w:shd w:val="clear" w:color="auto" w:fill="FFFFFF"/>
        <w:spacing w:after="120" w:line="240" w:lineRule="auto"/>
        <w:rPr>
          <w:rFonts w:ascii="Titillium Web" w:eastAsia="Times New Roman" w:hAnsi="Titillium Web" w:cs="Times New Roman"/>
          <w:b/>
          <w:bCs/>
          <w:color w:val="A94442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b/>
          <w:bCs/>
          <w:color w:val="A94442"/>
          <w:kern w:val="0"/>
          <w:sz w:val="27"/>
          <w:szCs w:val="27"/>
          <w:lang w:eastAsia="it-IT"/>
          <w14:ligatures w14:val="none"/>
        </w:rPr>
        <w:t> Domanda obbligatoria</w:t>
      </w:r>
    </w:p>
    <w:p w14:paraId="44021867" w14:textId="77777777" w:rsidR="00462B8C" w:rsidRPr="00462B8C" w:rsidRDefault="00462B8C" w:rsidP="00462B8C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Il paragrafo chiarisce il rapporto tra autonomia delle scuole e Nuove Indicazioni nazionali</w:t>
      </w:r>
    </w:p>
    <w:p w14:paraId="1F6F0275" w14:textId="77777777" w:rsidR="00462B8C" w:rsidRPr="00462B8C" w:rsidRDefault="00462B8C" w:rsidP="00462B8C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Nel paragrafo andrebbe chiarito meglio il rapporto tra premessa culturale, obiettivi di apprendimento e traiettorie per l’innovazione</w:t>
      </w:r>
    </w:p>
    <w:p w14:paraId="00BE1095" w14:textId="77777777" w:rsidR="00462B8C" w:rsidRPr="00462B8C" w:rsidRDefault="00462B8C" w:rsidP="00462B8C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Il paragrafo dovrebbe meglio chiarire il ruolo dell’insegnante come curriculum maker</w:t>
      </w:r>
    </w:p>
    <w:p w14:paraId="168EE1F3" w14:textId="77777777" w:rsidR="00462B8C" w:rsidRPr="00462B8C" w:rsidRDefault="00462B8C" w:rsidP="00462B8C">
      <w:pPr>
        <w:numPr>
          <w:ilvl w:val="0"/>
          <w:numId w:val="4"/>
        </w:numPr>
        <w:shd w:val="clear" w:color="auto" w:fill="FFFFFF"/>
        <w:spacing w:line="240" w:lineRule="auto"/>
        <w:ind w:left="270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Nessuna risposta</w:t>
      </w:r>
    </w:p>
    <w:p w14:paraId="027ED524" w14:textId="77777777" w:rsidR="00462B8C" w:rsidRPr="00462B8C" w:rsidRDefault="00462B8C" w:rsidP="00462B8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b/>
          <w:bCs/>
          <w:color w:val="444444"/>
          <w:kern w:val="0"/>
          <w:sz w:val="27"/>
          <w:szCs w:val="27"/>
          <w:lang w:eastAsia="it-IT"/>
          <w14:ligatures w14:val="none"/>
        </w:rPr>
        <w:t>(*)</w:t>
      </w: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 </w:t>
      </w:r>
      <w:r w:rsidRPr="00462B8C">
        <w:rPr>
          <w:rFonts w:ascii="Titillium Web" w:eastAsia="Times New Roman" w:hAnsi="Titillium Web" w:cs="Times New Roman"/>
          <w:i/>
          <w:iCs/>
          <w:color w:val="444444"/>
          <w:kern w:val="0"/>
          <w:sz w:val="27"/>
          <w:szCs w:val="27"/>
          <w:lang w:eastAsia="it-IT"/>
          <w14:ligatures w14:val="none"/>
        </w:rPr>
        <w:t>5. Valutazione e valorizzazione.</w:t>
      </w: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br/>
      </w: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highlight w:val="yellow"/>
          <w:lang w:eastAsia="it-IT"/>
          <w14:ligatures w14:val="none"/>
        </w:rPr>
        <w:t>Tra gli elementi in evidenza vi è la valutazione nella scuola del primo ciclo come atto di valorizzazione</w:t>
      </w:r>
    </w:p>
    <w:p w14:paraId="56C364FC" w14:textId="77777777" w:rsidR="00462B8C" w:rsidRPr="00462B8C" w:rsidRDefault="00462B8C" w:rsidP="00462B8C">
      <w:pPr>
        <w:shd w:val="clear" w:color="auto" w:fill="FFFFFF"/>
        <w:spacing w:after="120" w:line="240" w:lineRule="auto"/>
        <w:rPr>
          <w:rFonts w:ascii="Titillium Web" w:eastAsia="Times New Roman" w:hAnsi="Titillium Web" w:cs="Times New Roman"/>
          <w:b/>
          <w:bCs/>
          <w:color w:val="A94442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b/>
          <w:bCs/>
          <w:color w:val="A94442"/>
          <w:kern w:val="0"/>
          <w:sz w:val="27"/>
          <w:szCs w:val="27"/>
          <w:lang w:eastAsia="it-IT"/>
          <w14:ligatures w14:val="none"/>
        </w:rPr>
        <w:t> Domanda obbligatoria</w:t>
      </w:r>
    </w:p>
    <w:p w14:paraId="210601C3" w14:textId="77777777" w:rsidR="00462B8C" w:rsidRPr="00462B8C" w:rsidRDefault="00462B8C" w:rsidP="00462B8C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Il paragrafo rende più chiaro l’obiettivo della valutazione nel primo ciclo</w:t>
      </w:r>
    </w:p>
    <w:p w14:paraId="7E7E5F57" w14:textId="77777777" w:rsidR="00462B8C" w:rsidRPr="00462B8C" w:rsidRDefault="00462B8C" w:rsidP="00462B8C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Il paragrafo è apprezzabile, ma dovrebbe essere reso ancora più esteso e dettagliato</w:t>
      </w:r>
    </w:p>
    <w:p w14:paraId="511C9413" w14:textId="77777777" w:rsidR="00462B8C" w:rsidRPr="00462B8C" w:rsidRDefault="00462B8C" w:rsidP="00462B8C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Il paragrafo dovrebbe essere più esplicito nell’indicare i mezzi e gli strumenti per valutare le competenze attese</w:t>
      </w:r>
    </w:p>
    <w:p w14:paraId="50698653" w14:textId="77777777" w:rsidR="00462B8C" w:rsidRPr="00462B8C" w:rsidRDefault="00462B8C" w:rsidP="00462B8C">
      <w:pPr>
        <w:numPr>
          <w:ilvl w:val="0"/>
          <w:numId w:val="5"/>
        </w:numPr>
        <w:shd w:val="clear" w:color="auto" w:fill="FFFFFF"/>
        <w:spacing w:line="240" w:lineRule="auto"/>
        <w:ind w:left="270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462B8C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Nessuna risposta</w:t>
      </w:r>
    </w:p>
    <w:p w14:paraId="5E58C9E9" w14:textId="77777777" w:rsidR="001B4DE6" w:rsidRDefault="001B4DE6"/>
    <w:sectPr w:rsidR="001B4D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E12"/>
    <w:multiLevelType w:val="multilevel"/>
    <w:tmpl w:val="5A5A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602CD"/>
    <w:multiLevelType w:val="multilevel"/>
    <w:tmpl w:val="1FBA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0C7B13"/>
    <w:multiLevelType w:val="multilevel"/>
    <w:tmpl w:val="C912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E21794"/>
    <w:multiLevelType w:val="multilevel"/>
    <w:tmpl w:val="98CA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EA68CF"/>
    <w:multiLevelType w:val="multilevel"/>
    <w:tmpl w:val="2BD6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42841">
    <w:abstractNumId w:val="4"/>
  </w:num>
  <w:num w:numId="2" w16cid:durableId="1170752252">
    <w:abstractNumId w:val="1"/>
  </w:num>
  <w:num w:numId="3" w16cid:durableId="1197040235">
    <w:abstractNumId w:val="3"/>
  </w:num>
  <w:num w:numId="4" w16cid:durableId="282616450">
    <w:abstractNumId w:val="2"/>
  </w:num>
  <w:num w:numId="5" w16cid:durableId="99912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E6"/>
    <w:rsid w:val="001B4DE6"/>
    <w:rsid w:val="00462B8C"/>
    <w:rsid w:val="00A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6B3E7-C0DB-4CA2-8D9C-87AF8A01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4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4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4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4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4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4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4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4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4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4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4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4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4D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4D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4D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4D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4D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4D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4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4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4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4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4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4D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4D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4D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4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4D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4D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3342">
          <w:marLeft w:val="-225"/>
          <w:marRight w:val="-22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6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617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4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42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355034">
          <w:marLeft w:val="-225"/>
          <w:marRight w:val="-22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8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10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7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7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098504">
          <w:marLeft w:val="-225"/>
          <w:marRight w:val="-22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3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969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4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3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922970">
          <w:marLeft w:val="-225"/>
          <w:marRight w:val="-22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4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9853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2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656038">
          <w:marLeft w:val="-225"/>
          <w:marRight w:val="-22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3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6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1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3</cp:revision>
  <dcterms:created xsi:type="dcterms:W3CDTF">2025-03-22T06:54:00Z</dcterms:created>
  <dcterms:modified xsi:type="dcterms:W3CDTF">2025-03-22T06:56:00Z</dcterms:modified>
</cp:coreProperties>
</file>