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(cancellare le voci che non interessano</w:t>
      </w:r>
      <w:r w:rsidRPr="006223CB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r w:rsidRPr="006223CB">
        <w:rPr>
          <w:rFonts w:eastAsia="Times New Roman" w:cstheme="minorHAnsi"/>
        </w:rPr>
        <w:t xml:space="preserve">sotto la propria responsabilità, a norma delle disposizioni contenute nel DPR n. 445 del 28-12-2000 e s.m.i., il possesso dei seguenti </w:t>
      </w:r>
      <w:r w:rsidRPr="006223CB">
        <w:rPr>
          <w:rFonts w:eastAsia="Times New Roman" w:cstheme="minorHAnsi"/>
          <w:b/>
        </w:rPr>
        <w:t>titoli valutabili</w:t>
      </w:r>
      <w:r w:rsidR="00716164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</w:rPr>
        <w:t>in base alla tabella relativa alla mobilità allegata al CCNI sulla mobilità per l</w:t>
      </w:r>
      <w:r w:rsidR="008B0FDF" w:rsidRPr="006223CB">
        <w:rPr>
          <w:rFonts w:eastAsia="Times New Roman" w:cstheme="minorHAnsi"/>
        </w:rPr>
        <w:t>’</w:t>
      </w:r>
      <w:r w:rsidR="00A90EAA" w:rsidRPr="006223CB">
        <w:rPr>
          <w:rFonts w:eastAsia="Times New Roman" w:cstheme="minorHAnsi"/>
        </w:rPr>
        <w:t>a.s. 201</w:t>
      </w:r>
      <w:r w:rsidR="003632A8" w:rsidRPr="006223CB">
        <w:rPr>
          <w:rFonts w:eastAsia="Times New Roman" w:cstheme="minorHAnsi"/>
        </w:rPr>
        <w:t>8</w:t>
      </w:r>
      <w:r w:rsidR="00A90EAA" w:rsidRPr="006223CB">
        <w:rPr>
          <w:rFonts w:eastAsia="Times New Roman" w:cstheme="minorHAnsi"/>
        </w:rPr>
        <w:t>/1</w:t>
      </w:r>
      <w:r w:rsidR="003632A8" w:rsidRPr="006223CB">
        <w:rPr>
          <w:rFonts w:eastAsia="Times New Roman" w:cstheme="minorHAnsi"/>
        </w:rPr>
        <w:t>9</w:t>
      </w:r>
      <w:r w:rsidR="00902545" w:rsidRPr="006223CB">
        <w:rPr>
          <w:rFonts w:eastAsia="Times New Roman" w:cstheme="minorHAnsi"/>
        </w:rPr>
        <w:t xml:space="preserve"> 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6223CB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6223CB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ascii="Calibri,Bold" w:hAnsi="Calibri,Bold" w:cs="Calibri,Bold"/>
          <w:b/>
          <w:bCs/>
        </w:rPr>
        <w:t xml:space="preserve"> </w:t>
      </w:r>
      <w:r w:rsidRPr="006223CB">
        <w:rPr>
          <w:rFonts w:cstheme="minorHAnsi"/>
          <w:b/>
          <w:bCs/>
        </w:rPr>
        <w:t>Sono esclusi dal punteggio massimo il concorso (lettera A 12 pp.)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C54DE6" w:rsidRPr="006223CB">
        <w:rPr>
          <w:rFonts w:eastAsia="Times New Roman" w:cstheme="minorHAnsi"/>
          <w:b/>
        </w:rPr>
        <w:t xml:space="preserve">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9A2358" w:rsidRPr="006223CB">
        <w:rPr>
          <w:rFonts w:eastAsia="Times New Roman" w:cstheme="minorHAnsi"/>
          <w:b/>
        </w:rPr>
        <w:t xml:space="preserve"> 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t xml:space="preserve"> 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</w:t>
      </w:r>
      <w:r w:rsidR="00EA60C9" w:rsidRPr="006223CB">
        <w:rPr>
          <w:rFonts w:eastAsia="Times New Roman" w:cstheme="minorHAnsi"/>
          <w:b/>
        </w:rPr>
        <w:t xml:space="preserve"> </w:t>
      </w:r>
      <w:r w:rsidR="00FD3E76" w:rsidRPr="006223CB">
        <w:rPr>
          <w:rFonts w:eastAsia="Times New Roman" w:cstheme="minorHAnsi"/>
          <w:b/>
        </w:rPr>
        <w:t>e</w:t>
      </w:r>
      <w:r w:rsidR="00EA60C9" w:rsidRPr="006223CB">
        <w:rPr>
          <w:rFonts w:eastAsia="Times New Roman" w:cstheme="minorHAnsi"/>
          <w:b/>
        </w:rPr>
        <w:t xml:space="preserve"> 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</w:t>
      </w:r>
      <w:r w:rsidR="00464E22" w:rsidRPr="006223CB">
        <w:rPr>
          <w:rFonts w:eastAsia="Times New Roman" w:cstheme="minorHAnsi"/>
          <w:b/>
          <w:i/>
        </w:rPr>
        <w:t xml:space="preserve"> </w:t>
      </w:r>
      <w:r w:rsidR="008B0FDF" w:rsidRPr="006223CB">
        <w:rPr>
          <w:rFonts w:eastAsia="Times New Roman" w:cstheme="minorHAnsi"/>
          <w:b/>
          <w:i/>
        </w:rPr>
        <w:t>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</w:t>
      </w:r>
      <w:r w:rsidR="00123FCB" w:rsidRPr="006223CB">
        <w:rPr>
          <w:rFonts w:eastAsia="Times New Roman" w:cstheme="minorHAnsi"/>
          <w:b/>
          <w:i/>
        </w:rPr>
        <w:t xml:space="preserve"> </w:t>
      </w:r>
      <w:r w:rsidRPr="006223CB">
        <w:rPr>
          <w:rFonts w:eastAsia="Times New Roman" w:cstheme="minorHAnsi"/>
          <w:b/>
          <w:i/>
        </w:rPr>
        <w:t>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……….….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Pr="006223CB" w:rsidRDefault="002E0509" w:rsidP="006F42DF">
      <w:pPr>
        <w:rPr>
          <w:rFonts w:eastAsia="Times New Roman" w:cstheme="minorHAnsi"/>
          <w:b/>
        </w:rPr>
      </w:pPr>
    </w:p>
    <w:sectPr w:rsidR="002E0509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DB4CBE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7314-7458-4CB6-993C-EC40A303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Francesco Falvo</cp:lastModifiedBy>
  <cp:revision>2</cp:revision>
  <dcterms:created xsi:type="dcterms:W3CDTF">2018-05-02T15:49:00Z</dcterms:created>
  <dcterms:modified xsi:type="dcterms:W3CDTF">2018-05-02T15:49:00Z</dcterms:modified>
</cp:coreProperties>
</file>