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30j0zll" w:id="0"/>
    <w:bookmarkEnd w:id="0"/>
    <w:bookmarkStart w:colFirst="0" w:colLast="0" w:name="bookmark=id.1fob9te" w:id="1"/>
    <w:bookmarkEnd w:id="1"/>
    <w:bookmarkStart w:colFirst="0" w:colLast="0" w:name="bookmark=id.gjdgxs" w:id="2"/>
    <w:bookmarkEnd w:id="2"/>
    <w:p w:rsidR="00000000" w:rsidDel="00000000" w:rsidP="00000000" w:rsidRDefault="00000000" w:rsidRPr="00000000" w14:paraId="00000001">
      <w:pPr>
        <w:pStyle w:val="Heading3"/>
        <w:spacing w:after="0" w:before="0" w:lineRule="auto"/>
        <w:ind w:left="567" w:right="567" w:firstLine="0"/>
        <w:jc w:val="left"/>
        <w:rPr>
          <w:highlight w:val="white"/>
        </w:rPr>
      </w:pPr>
      <w:r w:rsidDel="00000000" w:rsidR="00000000" w:rsidRPr="00000000">
        <w:rPr>
          <w:highlight w:val="white"/>
          <w:rtl w:val="0"/>
        </w:rPr>
        <w:t xml:space="preserve">ALLEGATO C) “Dichiarazione di Insussistenza Cause Incompatibilità”</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b w:val="1"/>
          <w:highlight w:val="whit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Oggetto: Dichiarazione di Insussistenza Cause Incompatibilità per la </w:t>
      </w:r>
      <w:r w:rsidDel="00000000" w:rsidR="00000000" w:rsidRPr="00000000">
        <w:rPr>
          <w:b w:val="1"/>
          <w:highlight w:val="white"/>
          <w:rtl w:val="0"/>
        </w:rPr>
        <w:t xml:space="preserve">Procedura di Selezione interna-esterna di Docenti per la realizzazione di </w:t>
      </w:r>
      <w:r w:rsidDel="00000000" w:rsidR="00000000" w:rsidRPr="00000000">
        <w:rPr>
          <w:b w:val="1"/>
          <w:highlight w:val="white"/>
          <w:u w:val="single"/>
          <w:rtl w:val="0"/>
        </w:rPr>
        <w:t xml:space="preserve">n. 2 Percorsi</w:t>
      </w:r>
      <w:r w:rsidDel="00000000" w:rsidR="00000000" w:rsidRPr="00000000">
        <w:rPr>
          <w:b w:val="1"/>
          <w:highlight w:val="white"/>
          <w:rtl w:val="0"/>
        </w:rPr>
        <w:t xml:space="preserve"> di orientamento e formazione per il potenziamento delle competenze STEM, digitali e di innovazione, finalizzate alla promozione di pari opportunità di genere” nell’ambito delle “Azioni di potenziamento delle competenze STEM, digitali e di innovazione- Linea di Intervento A”- CORSO DI FOTOGRAFIA CON DISPOSITIVI MOBILI.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b w:val="1"/>
          <w:highlight w:val="white"/>
          <w:rtl w:val="0"/>
        </w:rPr>
        <w:t xml:space="preserve">Avviso di selezione prot. n. 0009757 del 09/10/2024.</w:t>
      </w:r>
      <w:bookmarkStart w:colFirst="0" w:colLast="0" w:name="bookmark=id.2et92p0" w:id="3"/>
      <w:bookmarkEnd w:id="3"/>
      <w:bookmarkStart w:colFirst="0" w:colLast="0" w:name="bookmark=id.tyjcwt" w:id="4"/>
      <w:bookmarkEnd w:id="4"/>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Avviso Pubblico </w:t>
      </w:r>
      <w:bookmarkStart w:colFirst="0" w:colLast="0" w:name="bookmark=id.3dy6vkm" w:id="5"/>
      <w:bookmarkEnd w:id="5"/>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CUP: </w:t>
      </w:r>
      <w:bookmarkStart w:colFirst="0" w:colLast="0" w:name="bookmark=id.1t3h5sf" w:id="6"/>
      <w:bookmarkEnd w:id="6"/>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F74D23001960006</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Titolo progetto: </w:t>
      </w:r>
      <w:bookmarkStart w:colFirst="0" w:colLast="0" w:name="bookmark=id.4d34og8" w:id="7"/>
      <w:bookmarkEnd w:id="7"/>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Competenze e linguaggi per il XXI secolo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Codice progetto: </w:t>
      </w:r>
      <w:bookmarkStart w:colFirst="0" w:colLast="0" w:name="bookmark=id.2s8eyo1" w:id="8"/>
      <w:bookmarkEnd w:id="8"/>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M4C1I3.1-2023-1143-P-31756</w:t>
      </w:r>
    </w:p>
    <w:bookmarkStart w:colFirst="0" w:colLast="0" w:name="bookmark=id.17dp8vu" w:id="9"/>
    <w:bookmarkEnd w:id="9"/>
    <w:bookmarkStart w:colFirst="0" w:colLast="0" w:name="bookmark=id.3rdcrjn" w:id="10"/>
    <w:bookmarkEnd w:id="10"/>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Il/La sottoscritto/a ________________________________ nato/a a ________________________________ (_____) il ___ - ___ - ______ in servizio nell’a.s. </w:t>
      </w:r>
      <w:bookmarkStart w:colFirst="0" w:colLast="0" w:name="bookmark=id.26in1rg" w:id="11"/>
      <w:bookmarkEnd w:id="11"/>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2023/2024 presso codesto Istituto in qualità di ________________________________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CONSAPEVOLE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DICHIARA</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bookmarkStart w:colFirst="0" w:colLast="0" w:name="bookmark=id.35nkun2" w:id="12"/>
    <w:bookmarkEnd w:id="12"/>
    <w:bookmarkStart w:colFirst="0" w:colLast="0" w:name="bookmark=id.lnxbz9" w:id="13"/>
    <w:bookmarkEnd w:id="13"/>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Luogo ____________________ , data __________</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Firma ________________________________</w:t>
      </w:r>
      <w:r w:rsidDel="00000000" w:rsidR="00000000" w:rsidRPr="00000000">
        <w:rPr>
          <w:rtl w:val="0"/>
        </w:rPr>
      </w:r>
    </w:p>
    <w:sectPr>
      <w:pgSz w:h="16838" w:w="11906" w:orient="portrait"/>
      <w:pgMar w:bottom="567" w:top="567" w:left="1134"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0"/>
      <w:bidi w:val="0"/>
    </w:pPr>
    <w:rPr>
      <w:rFonts w:ascii="Liberation Serif" w:cs="Noto Sans Devanagari" w:eastAsia="DejaVu Sans" w:hAnsi="Liberation Serif"/>
      <w:color w:val="auto"/>
      <w:sz w:val="24"/>
      <w:szCs w:val="24"/>
      <w:lang w:bidi="hi-IN" w:eastAsia="zh-CN" w:val="en-US"/>
    </w:rPr>
  </w:style>
  <w:style w:type="paragraph" w:styleId="Heading3">
    <w:name w:val="Heading 3"/>
    <w:basedOn w:val="Heading"/>
    <w:next w:val="TextBody"/>
    <w:qFormat w:val="1"/>
    <w:pPr>
      <w:spacing w:after="120" w:before="140"/>
      <w:outlineLvl w:val="2"/>
    </w:pPr>
    <w:rPr>
      <w:rFonts w:ascii="Liberation Serif" w:cs="Noto Sans Devanagari" w:eastAsia="DejaVu Sans" w:hAnsi="Liberation Serif"/>
      <w:b w:val="1"/>
      <w:bCs w:val="1"/>
      <w:sz w:val="28"/>
      <w:szCs w:val="28"/>
    </w:rPr>
  </w:style>
  <w:style w:type="character" w:styleId="StrongEmphasis">
    <w:name w:val="Strong Emphasis"/>
    <w:qFormat w:val="1"/>
    <w:rPr>
      <w:b w:val="1"/>
      <w:bCs w:val="1"/>
    </w:rPr>
  </w:style>
  <w:style w:type="character" w:styleId="Emphasis">
    <w:name w:val="Emphasis"/>
    <w:qFormat w:val="1"/>
    <w:rPr>
      <w:i w:val="1"/>
      <w:iCs w:val="1"/>
    </w:rPr>
  </w:style>
  <w:style w:type="character" w:styleId="Bullets">
    <w:name w:val="Bullets"/>
    <w:qFormat w:val="1"/>
    <w:rPr>
      <w:rFonts w:ascii="OpenSymbol" w:cs="OpenSymbol" w:eastAsia="OpenSymbol" w:hAnsi="OpenSymbol"/>
    </w:rPr>
  </w:style>
  <w:style w:type="paragraph" w:styleId="Heading">
    <w:name w:val="Heading"/>
    <w:basedOn w:val="Normal"/>
    <w:next w:val="TextBody"/>
    <w:qFormat w:val="1"/>
    <w:pPr>
      <w:keepNext w:val="1"/>
      <w:spacing w:after="120" w:before="240"/>
    </w:pPr>
    <w:rPr>
      <w:rFonts w:ascii="Liberation Sans" w:cs="Noto Sans Devanagari" w:eastAsia="DejaVu Sans"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lang w:bidi="zxx" w:eastAsia="zxx" w:val="zx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i6F9xlo1da1UnVOAtYgiY96GMQ==">CgMxLjAyCmlkLjMwajB6bGwyCmlkLjFmb2I5dGUyCWlkLmdqZGd4czIKaWQuMmV0OTJwMDIJaWQudHlqY3d0MgppZC4zZHk2dmttMgppZC4xdDNoNXNmMgppZC40ZDM0b2c4MgppZC4yczhleW8xMgppZC4xN2RwOHZ1MgppZC4zcmRjcmpuMgppZC4yNmluMXJnMgppZC4zNW5rdW4yMglpZC5sbnhiejk4AHIhMWVmY0hwV0NJS29NbDFfaFZDOTF3R21sWWRoTTUzeVRl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