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1"/>
        <w:keepNext w:val="false"/>
        <w:keepLines w:val="false"/>
        <w:widowControl w:val="false"/>
        <w:spacing w:lineRule="auto" w:line="360" w:before="0" w:after="0"/>
        <w:ind w:left="120" w:right="741" w:hanging="0"/>
        <w:jc w:val="center"/>
        <w:rPr>
          <w:rFonts w:ascii="Times" w:hAnsi="Times" w:eastAsia="Times" w:cs="Times"/>
          <w:sz w:val="24"/>
          <w:szCs w:val="24"/>
        </w:rPr>
      </w:pPr>
      <w:hyperlink r:id="rId3">
        <w:r>
          <w:rPr/>
          <w:drawing>
            <wp:inline distT="0" distB="0" distL="0" distR="0">
              <wp:extent cx="853440" cy="1057910"/>
              <wp:effectExtent l="0" t="0" r="0" b="0"/>
              <wp:docPr id="1" name="image1.png" descr="Liceo Classico G. Cevolani 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 descr="Liceo Classico G. Cevolani "/>
                      <pic:cNvPicPr>
                        <a:picLocks noChangeAspect="1" noChangeArrowheads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3440" cy="10579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</w:p>
    <w:p>
      <w:pPr>
        <w:pStyle w:val="Titolo1"/>
        <w:keepNext w:val="false"/>
        <w:keepLines w:val="false"/>
        <w:widowControl w:val="false"/>
        <w:spacing w:lineRule="auto" w:line="360" w:before="0" w:after="0"/>
        <w:ind w:left="120" w:right="741" w:hanging="0"/>
        <w:jc w:val="center"/>
        <w:rPr>
          <w:rFonts w:ascii="Times" w:hAnsi="Times" w:eastAsia="Times" w:cs="Times"/>
          <w:sz w:val="36"/>
          <w:szCs w:val="36"/>
          <w:highlight w:val="white"/>
        </w:rPr>
      </w:pPr>
      <w:hyperlink r:id="rId4">
        <w:r>
          <w:rPr>
            <w:rFonts w:eastAsia="Times" w:cs="Times" w:ascii="Times" w:hAnsi="Times"/>
            <w:sz w:val="36"/>
            <w:szCs w:val="36"/>
            <w:highlight w:val="white"/>
          </w:rPr>
          <w:t xml:space="preserve">LICEO GINNASIO STATALE </w:t>
        </w:r>
      </w:hyperlink>
    </w:p>
    <w:p>
      <w:pPr>
        <w:pStyle w:val="Titolo1"/>
        <w:keepNext w:val="false"/>
        <w:keepLines w:val="false"/>
        <w:widowControl w:val="false"/>
        <w:spacing w:lineRule="auto" w:line="360" w:before="0" w:after="0"/>
        <w:ind w:left="119" w:right="743" w:hanging="0"/>
        <w:jc w:val="center"/>
        <w:rPr>
          <w:rFonts w:ascii="Times" w:hAnsi="Times" w:eastAsia="Times" w:cs="Times"/>
          <w:sz w:val="36"/>
          <w:szCs w:val="36"/>
          <w:highlight w:val="white"/>
        </w:rPr>
      </w:pPr>
      <w:hyperlink r:id="rId5">
        <w:r>
          <w:rPr>
            <w:rFonts w:eastAsia="Times" w:cs="Times" w:ascii="Times" w:hAnsi="Times"/>
            <w:sz w:val="36"/>
            <w:szCs w:val="36"/>
            <w:highlight w:val="white"/>
          </w:rPr>
          <w:t xml:space="preserve">"GIUSEPPE CEVOLANI" </w:t>
        </w:r>
      </w:hyperlink>
      <w:bookmarkStart w:id="0" w:name="_wpzj8do9fz9w"/>
    </w:p>
    <w:p>
      <w:pPr>
        <w:pStyle w:val="Titolo1"/>
        <w:keepNext w:val="false"/>
        <w:keepLines w:val="false"/>
        <w:widowControl w:val="false"/>
        <w:spacing w:lineRule="auto" w:line="360" w:before="0" w:after="0"/>
        <w:ind w:left="120" w:right="741" w:hanging="0"/>
        <w:jc w:val="center"/>
        <w:rPr>
          <w:rFonts w:ascii="Times" w:hAnsi="Times" w:eastAsia="Times" w:cs="Times"/>
          <w:b w:val="false"/>
          <w:b w:val="false"/>
          <w:i/>
          <w:i/>
          <w:sz w:val="36"/>
          <w:szCs w:val="36"/>
          <w:highlight w:val="white"/>
        </w:rPr>
      </w:pPr>
      <w:hyperlink r:id="rId6">
        <w:bookmarkEnd w:id="0"/>
        <w:r>
          <w:rPr>
            <w:rFonts w:eastAsia="Times" w:cs="Times" w:ascii="Times" w:hAnsi="Times"/>
            <w:b w:val="false"/>
            <w:i/>
            <w:sz w:val="36"/>
            <w:szCs w:val="36"/>
            <w:highlight w:val="white"/>
          </w:rPr>
          <w:t xml:space="preserve">CLASSICO - LINGUISTICO - SCIENZE UMANE </w:t>
        </w:r>
      </w:hyperlink>
    </w:p>
    <w:p>
      <w:pPr>
        <w:pStyle w:val="Normal"/>
        <w:widowControl w:val="false"/>
        <w:pBdr/>
        <w:spacing w:lineRule="auto" w:line="360" w:before="271" w:after="200"/>
        <w:ind w:left="723" w:right="741" w:hanging="0"/>
        <w:jc w:val="center"/>
        <w:rPr>
          <w:rFonts w:ascii="Times" w:hAnsi="Times" w:eastAsia="Times" w:cs="Times"/>
          <w:i/>
          <w:i/>
          <w:sz w:val="32"/>
          <w:szCs w:val="32"/>
        </w:rPr>
      </w:pPr>
      <w:hyperlink r:id="rId7">
        <w:r>
          <w:rPr>
            <w:rFonts w:eastAsia="Times" w:cs="Times" w:ascii="Times" w:hAnsi="Times"/>
            <w:i/>
            <w:sz w:val="32"/>
            <w:szCs w:val="32"/>
          </w:rPr>
          <w:t>PROVA SCIENZE UMANE – CLASSI V</w:t>
        </w:r>
      </w:hyperlink>
    </w:p>
    <w:p>
      <w:pPr>
        <w:pStyle w:val="Normal"/>
        <w:widowControl w:val="false"/>
        <w:pBdr/>
        <w:spacing w:lineRule="auto" w:line="360" w:before="271" w:after="200"/>
        <w:ind w:left="723" w:right="741" w:hanging="0"/>
        <w:jc w:val="center"/>
        <w:rPr>
          <w:rFonts w:ascii="Times" w:hAnsi="Times" w:eastAsia="Times" w:cs="Times"/>
          <w:i/>
          <w:i/>
          <w:sz w:val="10"/>
          <w:szCs w:val="10"/>
        </w:rPr>
      </w:pPr>
      <w:r>
        <w:rPr>
          <w:rFonts w:eastAsia="Times" w:cs="Times" w:ascii="Times" w:hAnsi="Times"/>
          <w:i/>
          <w:sz w:val="32"/>
          <w:szCs w:val="32"/>
        </w:rPr>
        <w:t>Data_________________</w:t>
      </w:r>
    </w:p>
    <w:p>
      <w:pPr>
        <w:pStyle w:val="NormalWeb"/>
        <w:spacing w:beforeAutospacing="0" w:before="196" w:afterAutospacing="0" w:after="0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Web"/>
        <w:spacing w:beforeAutospacing="0" w:before="277" w:afterAutospacing="0" w:after="0"/>
        <w:rPr/>
      </w:pPr>
      <w:r>
        <w:rPr>
          <w:b/>
          <w:bCs/>
          <w:color w:val="000000"/>
        </w:rPr>
        <w:t>Titolo: Deprivazione culturale, ruolo della scuola e nuove emergenze educative</w:t>
      </w:r>
    </w:p>
    <w:p>
      <w:pPr>
        <w:pStyle w:val="NormalWeb"/>
        <w:spacing w:beforeAutospacing="0" w:before="111" w:afterAutospacing="0" w:after="0"/>
        <w:jc w:val="both"/>
        <w:rPr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Web"/>
        <w:spacing w:beforeAutospacing="0" w:before="111" w:afterAutospacing="0" w:after="0"/>
        <w:jc w:val="both"/>
        <w:rPr/>
      </w:pPr>
      <w:r>
        <w:rPr>
          <w:color w:val="000000"/>
          <w:shd w:fill="FFFFFF" w:val="clear"/>
        </w:rPr>
        <w:t xml:space="preserve">La relazione fra condizioni socioculturali e rendimento scolastico ha impegnato la riflessione </w:t>
      </w:r>
      <w:r>
        <w:rPr>
          <w:color w:val="000000"/>
        </w:rPr>
        <w:t>psicopedagogica</w:t>
      </w:r>
      <w:r>
        <w:rPr>
          <w:color w:val="000000"/>
          <w:shd w:fill="FFFFFF" w:val="clear"/>
        </w:rPr>
        <w:t xml:space="preserve"> nel corso del Novecento. Le ricerche effettuate hanno messo in evidenza come il</w:t>
      </w:r>
      <w:r>
        <w:rPr>
          <w:color w:val="000000"/>
        </w:rPr>
        <w:t xml:space="preserve"> contesto culturale di nascita possa influire sul successo scolastico. </w:t>
      </w:r>
      <w:r>
        <w:rPr>
          <w:color w:val="000000"/>
          <w:shd w:fill="FFFFFF" w:val="clear"/>
        </w:rPr>
        <w:t xml:space="preserve">Il libro “Lettera a una professoressa”, </w:t>
      </w:r>
      <w:r>
        <w:rPr>
          <w:color w:val="000000"/>
        </w:rPr>
        <w:t>scritto</w:t>
      </w:r>
      <w:r>
        <w:rPr>
          <w:color w:val="000000"/>
          <w:shd w:fill="FFFFFF" w:val="clear"/>
        </w:rPr>
        <w:t xml:space="preserve"> dai ragazzi della scuola di Barbiana, rappresenta un atto di accusa contro una scuola che non è per </w:t>
      </w:r>
      <w:r>
        <w:rPr>
          <w:color w:val="000000"/>
        </w:rPr>
        <w:t>tutti</w:t>
      </w:r>
      <w:r>
        <w:rPr>
          <w:color w:val="000000"/>
          <w:shd w:fill="FFFFFF" w:val="clear"/>
        </w:rPr>
        <w:t xml:space="preserve"> ma solo per coloro che, per appartenenza di classe, possiedono gli strumenti linguistici e culturali </w:t>
      </w:r>
      <w:r>
        <w:rPr>
          <w:color w:val="000000"/>
        </w:rPr>
        <w:t>necessari</w:t>
      </w:r>
      <w:r>
        <w:rPr>
          <w:color w:val="000000"/>
          <w:shd w:fill="FFFFFF" w:val="clear"/>
        </w:rPr>
        <w:t xml:space="preserve"> alla sua frequenza. Nel documento tratto dal libro “Storia della Scuola”</w:t>
      </w:r>
      <w:r>
        <w:rPr>
          <w:color w:val="000000"/>
        </w:rPr>
        <w:t>, si fa riferimento a</w:t>
      </w:r>
      <w:r>
        <w:rPr>
          <w:color w:val="000000"/>
          <w:shd w:fill="FFFFFF" w:val="clear"/>
        </w:rPr>
        <w:t xml:space="preserve">gli </w:t>
      </w:r>
      <w:r>
        <w:rPr>
          <w:color w:val="000000"/>
        </w:rPr>
        <w:t>anni</w:t>
      </w:r>
      <w:r>
        <w:rPr>
          <w:color w:val="000000"/>
          <w:shd w:fill="FFFFFF" w:val="clear"/>
        </w:rPr>
        <w:t xml:space="preserve"> dell’entrata in vigore della legge sulla scuola media unica che intendeva dare una risposta al grave </w:t>
      </w:r>
      <w:r>
        <w:rPr>
          <w:color w:val="000000"/>
        </w:rPr>
        <w:t>problema</w:t>
      </w:r>
      <w:r>
        <w:rPr>
          <w:color w:val="000000"/>
          <w:shd w:fill="FFFFFF" w:val="clear"/>
        </w:rPr>
        <w:t xml:space="preserve"> dell’abbandono scolastico e consentire il superamento del destino sociale correlato alla classe di </w:t>
      </w:r>
      <w:r>
        <w:rPr>
          <w:color w:val="000000"/>
        </w:rPr>
        <w:t>appartenenza</w:t>
      </w:r>
      <w:r>
        <w:rPr>
          <w:color w:val="000000"/>
          <w:shd w:fill="FFFFFF" w:val="clear"/>
        </w:rPr>
        <w:t xml:space="preserve">. </w:t>
      </w:r>
    </w:p>
    <w:p>
      <w:pPr>
        <w:pStyle w:val="NormalWeb"/>
        <w:spacing w:beforeAutospacing="0" w:before="126" w:afterAutospacing="0" w:after="0"/>
        <w:jc w:val="both"/>
        <w:rPr>
          <w:color w:val="000000"/>
        </w:rPr>
      </w:pPr>
      <w:r>
        <w:rPr>
          <w:color w:val="000000"/>
        </w:rPr>
        <w:t>Il candidato, avvalendosi anche della lettura e analisi dei documenti riportati, illustri il ruolo della scuola per favorire il superamento dello svantaggio culturale soffermandosi, in particolare, sulle emergenze educative attuali.</w:t>
      </w:r>
    </w:p>
    <w:p>
      <w:pPr>
        <w:pStyle w:val="NormalWeb"/>
        <w:spacing w:beforeAutospacing="0" w:before="126" w:afterAutospacing="0" w:after="0"/>
        <w:jc w:val="both"/>
        <w:rPr/>
      </w:pPr>
      <w:r>
        <w:rPr>
          <w:b/>
          <w:bCs/>
          <w:color w:val="000000"/>
        </w:rPr>
        <w:t>Documento 1</w:t>
      </w:r>
    </w:p>
    <w:p>
      <w:pPr>
        <w:pStyle w:val="NormalWeb"/>
        <w:spacing w:beforeAutospacing="0" w:before="231" w:afterAutospacing="0" w:after="0"/>
        <w:jc w:val="both"/>
        <w:rPr/>
      </w:pPr>
      <w:r>
        <w:rPr>
          <w:color w:val="000000"/>
          <w:shd w:fill="FFFFFF" w:val="clear"/>
        </w:rPr>
        <w:t xml:space="preserve">Voi dite che Pierino del dottore scrive bene. Per forza, parla come voi. Appartiene alla ditta. Invece la </w:t>
      </w:r>
      <w:r>
        <w:rPr>
          <w:color w:val="000000"/>
        </w:rPr>
        <w:t>lingua</w:t>
      </w:r>
      <w:r>
        <w:rPr>
          <w:color w:val="000000"/>
          <w:shd w:fill="FFFFFF" w:val="clear"/>
        </w:rPr>
        <w:t xml:space="preserve"> che parla e scrive Gianni è quella del suo babbo. Quando Gianni era piccino chiamava la radio </w:t>
      </w:r>
      <w:r>
        <w:rPr>
          <w:color w:val="000000"/>
        </w:rPr>
        <w:t>lalla</w:t>
      </w:r>
      <w:r>
        <w:rPr>
          <w:color w:val="000000"/>
          <w:shd w:fill="FFFFFF" w:val="clear"/>
        </w:rPr>
        <w:t xml:space="preserve">. E il babbo serio: «Non si dice lalla, si dice aradio». Ora, se è possibile, è bene che Gianni impari a </w:t>
      </w:r>
      <w:r>
        <w:rPr>
          <w:color w:val="000000"/>
        </w:rPr>
        <w:t>dire</w:t>
      </w:r>
      <w:r>
        <w:rPr>
          <w:color w:val="000000"/>
          <w:shd w:fill="FFFFFF" w:val="clear"/>
        </w:rPr>
        <w:t xml:space="preserve"> anche radio. La vostra lingua potrebbe fargli comodo. Ma intanto non potete cacciarlo dalla scuola. «Tutti i cittadini sono eguali senza distinzione di lingua». L’ha detto la Costituzione pensando a lui. Ma voi avete più in onore la grammatica che la Costituzione. E Gianni non è più tornato neanche da noi. </w:t>
      </w:r>
      <w:r>
        <w:rPr>
          <w:color w:val="000000"/>
        </w:rPr>
        <w:t>N</w:t>
      </w:r>
      <w:r>
        <w:rPr>
          <w:color w:val="000000"/>
          <w:shd w:fill="FFFFFF" w:val="clear"/>
        </w:rPr>
        <w:t xml:space="preserve">oi non ce ne diamo pace. Lo seguiamo di lontano. S’è saputo che non va più in chiesa, né alla sezione di </w:t>
      </w:r>
      <w:r>
        <w:rPr>
          <w:color w:val="000000"/>
        </w:rPr>
        <w:t>nessun</w:t>
      </w:r>
      <w:r>
        <w:rPr>
          <w:color w:val="000000"/>
          <w:shd w:fill="FFFFFF" w:val="clear"/>
        </w:rPr>
        <w:t xml:space="preserve"> partito. Va in officina e spazza. Nelle ore libere segue le mode come un burattino obbediente. Il </w:t>
      </w:r>
      <w:r>
        <w:rPr>
          <w:color w:val="000000"/>
        </w:rPr>
        <w:t>sabato</w:t>
      </w:r>
      <w:r>
        <w:rPr>
          <w:color w:val="000000"/>
          <w:shd w:fill="FFFFFF" w:val="clear"/>
        </w:rPr>
        <w:t xml:space="preserve"> a ballare, la domenica allo stadio. Voi di lui non sapete neanche che esiste. Così è stato il nostro </w:t>
      </w:r>
      <w:r>
        <w:rPr>
          <w:color w:val="000000"/>
        </w:rPr>
        <w:t>primo</w:t>
      </w:r>
      <w:r>
        <w:rPr>
          <w:color w:val="000000"/>
          <w:shd w:fill="FFFFFF" w:val="clear"/>
        </w:rPr>
        <w:t xml:space="preserve"> incontro con voi. Attraverso i ragazzi che non volete. L’abbiamo visto anche noi che con loro la </w:t>
      </w:r>
      <w:r>
        <w:rPr>
          <w:color w:val="000000"/>
        </w:rPr>
        <w:t>scuola</w:t>
      </w:r>
      <w:r>
        <w:rPr>
          <w:color w:val="000000"/>
          <w:shd w:fill="FFFFFF" w:val="clear"/>
        </w:rPr>
        <w:t xml:space="preserve"> diventa più difficile. Qualche volta viene la tentazione di levarseli di torno. Ma se si perde loro, la </w:t>
      </w:r>
      <w:r>
        <w:rPr>
          <w:color w:val="000000"/>
        </w:rPr>
        <w:t>scuola</w:t>
      </w:r>
      <w:r>
        <w:rPr>
          <w:color w:val="000000"/>
          <w:shd w:fill="FFFFFF" w:val="clear"/>
        </w:rPr>
        <w:t xml:space="preserve"> non è più scuola. È un ospedale che cura i sani e respinge i malati. Diventa uno strumento di </w:t>
      </w:r>
      <w:r>
        <w:rPr>
          <w:color w:val="000000"/>
        </w:rPr>
        <w:t>differenziazione</w:t>
      </w:r>
      <w:r>
        <w:rPr>
          <w:color w:val="000000"/>
          <w:shd w:fill="FFFFFF" w:val="clear"/>
        </w:rPr>
        <w:t xml:space="preserve"> sempre più irrimediabile. E voi ve la sentite di fare questa parte nel mondo? Allora </w:t>
      </w:r>
      <w:r>
        <w:rPr>
          <w:color w:val="000000"/>
        </w:rPr>
        <w:t>richiamateli</w:t>
      </w:r>
      <w:r>
        <w:rPr>
          <w:color w:val="000000"/>
          <w:shd w:fill="FFFFFF" w:val="clear"/>
        </w:rPr>
        <w:t xml:space="preserve">, insistete, ricominciate tutto da capo all’infinito a costo di passar da pazzi. Meglio passar da </w:t>
      </w:r>
      <w:r>
        <w:rPr>
          <w:color w:val="000000"/>
        </w:rPr>
        <w:t>pazzi</w:t>
      </w:r>
      <w:r>
        <w:rPr>
          <w:color w:val="000000"/>
          <w:shd w:fill="FFFFFF" w:val="clear"/>
        </w:rPr>
        <w:t xml:space="preserve"> che essere strumento di razzismo.</w:t>
      </w:r>
      <w:r>
        <w:rPr>
          <w:color w:val="000000"/>
        </w:rPr>
        <w:t> </w:t>
      </w:r>
    </w:p>
    <w:p>
      <w:pPr>
        <w:pStyle w:val="NormalWeb"/>
        <w:spacing w:beforeAutospacing="0" w:before="404" w:afterAutospacing="0" w:after="0"/>
        <w:jc w:val="right"/>
        <w:rPr/>
      </w:pPr>
      <w:r>
        <w:rPr>
          <w:color w:val="000000"/>
          <w:sz w:val="22"/>
          <w:szCs w:val="22"/>
        </w:rPr>
        <w:t xml:space="preserve">Scuola di Barbiana, </w:t>
      </w:r>
      <w:r>
        <w:rPr>
          <w:i/>
          <w:iCs/>
          <w:color w:val="000000"/>
          <w:sz w:val="22"/>
          <w:szCs w:val="22"/>
        </w:rPr>
        <w:t>Lettera a una professoressa</w:t>
      </w:r>
      <w:r>
        <w:rPr>
          <w:color w:val="000000"/>
          <w:sz w:val="22"/>
          <w:szCs w:val="22"/>
        </w:rPr>
        <w:t>, Libreria Editrice Fiorentina, Firenze 1976, p. 19-20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</w:r>
    </w:p>
    <w:p>
      <w:pPr>
        <w:pStyle w:val="NormalWeb"/>
        <w:spacing w:beforeAutospacing="0" w:before="397" w:afterAutospacing="0" w:after="0"/>
        <w:jc w:val="both"/>
        <w:rPr/>
      </w:pPr>
      <w:r>
        <w:rPr>
          <w:b/>
          <w:bCs/>
          <w:color w:val="000000"/>
        </w:rPr>
        <w:t>Documento 2</w:t>
      </w:r>
    </w:p>
    <w:p>
      <w:pPr>
        <w:pStyle w:val="NormalWeb"/>
        <w:spacing w:beforeAutospacing="0" w:before="232" w:afterAutospacing="0" w:after="0"/>
        <w:jc w:val="both"/>
        <w:rPr/>
      </w:pPr>
      <w:r>
        <w:rPr>
          <w:color w:val="000000"/>
        </w:rPr>
        <w:t xml:space="preserve">Nel 1961 - 1962 il 79,1 per cento dei ragazzi che, conseguita la licenza elementare, proseguivano gli studi, si trovava di fronte al cosiddetto “doppio binario”: da una parte la scuola d’avviamento professionale senza ulteriori sbocchi, dall’altra un severo esame di ammissione alla scuola media triennale con il latino, aperta a tutte le successive scuole secondarie. Il destino scolastico di ricchi e poveri, di ragazzi di città e di campagna veniva deciso </w:t>
      </w:r>
      <w:r>
        <w:rPr>
          <w:i/>
          <w:iCs/>
          <w:color w:val="000000"/>
        </w:rPr>
        <w:t>al termine della scuola elementare</w:t>
      </w:r>
      <w:r>
        <w:rPr>
          <w:color w:val="000000"/>
        </w:rPr>
        <w:t xml:space="preserve">, a un’età molto precoce (10 – 11 anni) e, quel che è peggio, non in base ai meriti di ciascuno ma di fatto per la sua collocazione sociale. L’idea </w:t>
      </w:r>
      <w:r>
        <w:rPr>
          <w:i/>
          <w:iCs/>
          <w:color w:val="000000"/>
        </w:rPr>
        <w:t xml:space="preserve">di una scuola media unica </w:t>
      </w:r>
      <w:r>
        <w:rPr>
          <w:color w:val="000000"/>
        </w:rPr>
        <w:t>nasceva non già da una modellistica scolastica o da un’impostazione pedagogica, ma investiva le finalità stesse dell’intero sistema scolastico e il suo ruolo sociale. L’art. 34 della Costituzione aveva dato in proposito un’indicazione chiara: «L’istruzione inferiore, impartita per almeno otto anni, è obbligatoria e gratuita». Di qui la necessità di fornire a tutti i  giovani una formazione di base in grado di colmare gli svantaggi iniziali legati all’estrazione sociale o  alla deprivazione culturale; di sollevare il “tetto troppo basso” delle conoscenze comuni e delle abilità  indispensabili per vivere una società moderna; di garantire una crescita fondata sull’uguaglianza dei punti  di partenza e sulla pluralità degli approdi cui ciascuno poteva legittimamente aspirare; di assicurare un  processo educativo a misura di adolescente, volto a potenziare le sue capacità conoscitive e critiche, a  dotarlo della strumentazione necessaria per compiere le successive scelte di studio e di lavoro. </w:t>
      </w:r>
    </w:p>
    <w:p>
      <w:pPr>
        <w:pStyle w:val="NormalWeb"/>
        <w:spacing w:beforeAutospacing="0" w:before="404" w:afterAutospacing="0" w:after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Saverio S</w:t>
      </w:r>
      <w:r>
        <w:rPr>
          <w:color w:val="000000"/>
          <w:sz w:val="18"/>
          <w:szCs w:val="18"/>
        </w:rPr>
        <w:t>ANTAMAITA</w:t>
      </w:r>
      <w:r>
        <w:rPr>
          <w:color w:val="000000"/>
          <w:sz w:val="22"/>
          <w:szCs w:val="22"/>
        </w:rPr>
        <w:t xml:space="preserve">, </w:t>
      </w:r>
      <w:r>
        <w:rPr>
          <w:i/>
          <w:iCs/>
          <w:color w:val="000000"/>
          <w:sz w:val="22"/>
          <w:szCs w:val="22"/>
        </w:rPr>
        <w:t>Storia della scuola</w:t>
      </w:r>
      <w:r>
        <w:rPr>
          <w:color w:val="000000"/>
          <w:sz w:val="22"/>
          <w:szCs w:val="22"/>
        </w:rPr>
        <w:t>, Pearson Italia, Milano -Torino, 2010, p. 141 - 142 </w:t>
      </w:r>
    </w:p>
    <w:p>
      <w:pPr>
        <w:pStyle w:val="NormalWeb"/>
        <w:spacing w:before="404" w:after="280"/>
        <w:jc w:val="both"/>
        <w:rPr/>
      </w:pPr>
      <w:r>
        <w:rPr/>
      </w:r>
    </w:p>
    <w:p>
      <w:pPr>
        <w:pStyle w:val="NormalWeb"/>
        <w:spacing w:before="404" w:after="280"/>
        <w:jc w:val="both"/>
        <w:rPr>
          <w:b/>
          <w:b/>
          <w:i/>
          <w:i/>
        </w:rPr>
      </w:pPr>
      <w:r>
        <w:rPr/>
        <w:t xml:space="preserve">Il candidato, anche avvalendosi degli elementi offerti dai brani sopra riportati, esprima le sue riflessioni sull’argomento, rispondendo a </w:t>
      </w:r>
      <w:r>
        <w:rPr>
          <w:b/>
          <w:i/>
        </w:rPr>
        <w:t xml:space="preserve">due dei seguenti quesiti: </w:t>
      </w:r>
    </w:p>
    <w:p>
      <w:pPr>
        <w:pStyle w:val="NormalWeb"/>
        <w:spacing w:lineRule="auto" w:line="480" w:beforeAutospacing="0" w:before="111" w:afterAutospacing="0" w:after="0"/>
        <w:rPr/>
      </w:pPr>
      <w:r>
        <w:rPr>
          <w:color w:val="000000"/>
        </w:rPr>
        <w:t>1</w:t>
      </w:r>
      <w:r>
        <w:rPr>
          <w:color w:val="000000"/>
        </w:rPr>
        <w:t>. Esiste una relazione tra scuola e mobilità sociale?</w:t>
      </w:r>
    </w:p>
    <w:p>
      <w:pPr>
        <w:pStyle w:val="NormalWeb"/>
        <w:spacing w:beforeAutospacing="0" w:before="46" w:afterAutospacing="0" w:after="0"/>
        <w:rPr/>
      </w:pPr>
      <w:r>
        <w:rPr>
          <w:color w:val="000000"/>
        </w:rPr>
        <w:t>2</w:t>
      </w:r>
      <w:r>
        <w:rPr>
          <w:color w:val="000000"/>
        </w:rPr>
        <w:t>. Che cosa si intende con l’espressione “dispersione scolastica”?</w:t>
      </w:r>
    </w:p>
    <w:p>
      <w:pPr>
        <w:pStyle w:val="NormalWeb"/>
        <w:spacing w:beforeAutospacing="0" w:before="236" w:afterAutospacing="0" w:after="0"/>
        <w:rPr>
          <w:color w:val="000000"/>
        </w:rPr>
      </w:pPr>
      <w:r>
        <w:rPr>
          <w:color w:val="000000"/>
        </w:rPr>
        <w:t>3</w:t>
      </w:r>
      <w:r>
        <w:rPr>
          <w:color w:val="000000"/>
        </w:rPr>
        <w:t>. Come si è modificato il linguaggio con l’utilizzo del “social network”?</w:t>
      </w:r>
    </w:p>
    <w:p>
      <w:pPr>
        <w:pStyle w:val="NormalWeb"/>
        <w:spacing w:beforeAutospacing="0" w:before="236" w:afterAutospacing="0" w:after="0"/>
        <w:rPr/>
      </w:pPr>
      <w:r>
        <w:rPr>
          <w:color w:val="000000"/>
          <w:sz w:val="20"/>
          <w:szCs w:val="20"/>
        </w:rPr>
        <w:t>___________________________</w:t>
      </w:r>
    </w:p>
    <w:p>
      <w:pPr>
        <w:pStyle w:val="NormalWeb"/>
        <w:spacing w:beforeAutospacing="0" w:before="0" w:afterAutospacing="0" w:after="0"/>
        <w:rPr>
          <w:color w:val="000000"/>
          <w:sz w:val="20"/>
          <w:szCs w:val="20"/>
        </w:rPr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>
          <w:color w:val="000000"/>
          <w:sz w:val="20"/>
          <w:szCs w:val="20"/>
        </w:rPr>
        <w:t>È consentito l’uso del vocabolario di italiano.</w:t>
      </w:r>
    </w:p>
    <w:p>
      <w:pPr>
        <w:pStyle w:val="NormalWeb"/>
        <w:spacing w:beforeAutospacing="0" w:before="0" w:afterAutospacing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È consentito l’uso del vocabolario bilingue (italiano-lingua del paese di provenienza) per i candidati di madrelingua non italiana.  </w:t>
      </w:r>
    </w:p>
    <w:p>
      <w:pPr>
        <w:pStyle w:val="NormalWeb"/>
        <w:spacing w:beforeAutospacing="0" w:before="0" w:afterAutospacing="0" w:after="0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466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"/>
    <w:qFormat/>
    <w:rsid w:val="00461ba7"/>
    <w:pPr>
      <w:keepNext w:val="true"/>
      <w:keepLines/>
      <w:spacing w:before="480" w:after="120"/>
      <w:outlineLvl w:val="0"/>
    </w:pPr>
    <w:rPr>
      <w:rFonts w:ascii="Arial" w:hAnsi="Arial" w:eastAsia="Arial" w:cs="Arial"/>
      <w:b/>
      <w:sz w:val="48"/>
      <w:szCs w:val="48"/>
      <w:lang w:eastAsia="it-IT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461ba7"/>
    <w:rPr>
      <w:rFonts w:ascii="Tahoma" w:hAnsi="Tahoma" w:cs="Tahoma"/>
      <w:sz w:val="16"/>
      <w:szCs w:val="16"/>
    </w:rPr>
  </w:style>
  <w:style w:type="character" w:styleId="Titolo1Carattere" w:customStyle="1">
    <w:name w:val="Titolo 1 Carattere"/>
    <w:basedOn w:val="DefaultParagraphFont"/>
    <w:uiPriority w:val="9"/>
    <w:qFormat/>
    <w:rsid w:val="00461ba7"/>
    <w:rPr>
      <w:rFonts w:ascii="Arial" w:hAnsi="Arial" w:eastAsia="Arial" w:cs="Arial"/>
      <w:b/>
      <w:sz w:val="48"/>
      <w:szCs w:val="48"/>
      <w:lang w:eastAsia="it-IT"/>
    </w:rPr>
  </w:style>
  <w:style w:type="character" w:styleId="IntestazioneCarattere" w:customStyle="1">
    <w:name w:val="Intestazione Carattere"/>
    <w:basedOn w:val="DefaultParagraphFont"/>
    <w:uiPriority w:val="99"/>
    <w:semiHidden/>
    <w:qFormat/>
    <w:rsid w:val="00461ba7"/>
    <w:rPr/>
  </w:style>
  <w:style w:type="character" w:styleId="PidipaginaCarattere" w:customStyle="1">
    <w:name w:val="Piè di pagina Carattere"/>
    <w:basedOn w:val="DefaultParagraphFont"/>
    <w:uiPriority w:val="99"/>
    <w:semiHidden/>
    <w:qFormat/>
    <w:rsid w:val="00461ba7"/>
    <w:rPr/>
  </w:style>
  <w:style w:type="character" w:styleId="CollegamentoInternet">
    <w:name w:val="Hyperlink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461ba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461ba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semiHidden/>
    <w:unhideWhenUsed/>
    <w:rsid w:val="00461ba7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semiHidden/>
    <w:unhideWhenUsed/>
    <w:rsid w:val="00461ba7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liceocevolani.edu.it/" TargetMode="External"/><Relationship Id="rId4" Type="http://schemas.openxmlformats.org/officeDocument/2006/relationships/hyperlink" Target="https://www.liceocevolani.edu.it/" TargetMode="External"/><Relationship Id="rId5" Type="http://schemas.openxmlformats.org/officeDocument/2006/relationships/hyperlink" Target="https://www.liceocevolani.edu.it/" TargetMode="External"/><Relationship Id="rId6" Type="http://schemas.openxmlformats.org/officeDocument/2006/relationships/hyperlink" Target="https://www.liceocevolani.edu.it/" TargetMode="External"/><Relationship Id="rId7" Type="http://schemas.openxmlformats.org/officeDocument/2006/relationships/hyperlink" Target="https://www.liceocevolani.edu.it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LibreOffice/7.4.0.3$Windows_X86_64 LibreOffice_project/f85e47c08ddd19c015c0114a68350214f7066f5a</Application>
  <AppVersion>15.0000</AppVersion>
  <Pages>2</Pages>
  <Words>810</Words>
  <Characters>4454</Characters>
  <CharactersWithSpaces>5261</CharactersWithSpaces>
  <Paragraphs>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2024-03-21T10:17:00Z</dcterms:created>
  <dc:creator>Utente</dc:creator>
  <dc:description/>
  <dc:language>it-IT</dc:language>
  <cp:lastModifiedBy/>
  <dcterms:modified xsi:type="dcterms:W3CDTF">2024-05-13T10:34:55Z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