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1D" w:rsidRPr="00416CD6" w:rsidRDefault="00B837DB" w:rsidP="00EC121D">
      <w:pPr>
        <w:pStyle w:val="Normale1"/>
        <w:rPr>
          <w:rFonts w:ascii="Times New Roman" w:eastAsia="Ubuntu" w:hAnsi="Times New Roman" w:cs="Times New Roman"/>
          <w:b/>
          <w:sz w:val="20"/>
          <w:szCs w:val="20"/>
        </w:rPr>
      </w:pPr>
      <w:r>
        <w:rPr>
          <w:rFonts w:ascii="Times New Roman" w:eastAsia="Ubuntu" w:hAnsi="Times New Roman" w:cs="Times New Roman"/>
          <w:b/>
          <w:sz w:val="20"/>
          <w:szCs w:val="20"/>
        </w:rPr>
        <w:t>ALLEGATO F</w:t>
      </w:r>
      <w:bookmarkStart w:id="0" w:name="_GoBack"/>
      <w:bookmarkEnd w:id="0"/>
    </w:p>
    <w:p w:rsidR="00EC121D" w:rsidRPr="00416CD6" w:rsidRDefault="00EC121D" w:rsidP="00EC121D">
      <w:pPr>
        <w:pStyle w:val="Normale1"/>
        <w:jc w:val="center"/>
        <w:rPr>
          <w:rFonts w:ascii="Times New Roman" w:eastAsia="Ubuntu" w:hAnsi="Times New Roman" w:cs="Times New Roman"/>
          <w:b/>
          <w:sz w:val="20"/>
          <w:szCs w:val="20"/>
          <w:u w:val="single"/>
        </w:rPr>
      </w:pPr>
      <w:r w:rsidRPr="00416CD6">
        <w:rPr>
          <w:rFonts w:ascii="Times New Roman" w:eastAsia="Ubuntu" w:hAnsi="Times New Roman" w:cs="Times New Roman"/>
          <w:b/>
          <w:sz w:val="20"/>
          <w:szCs w:val="20"/>
          <w:u w:val="single"/>
        </w:rPr>
        <w:t xml:space="preserve">ACCORDO PER IL TRATTAMENTO DI DATI PERSONALI  </w:t>
      </w:r>
    </w:p>
    <w:p w:rsidR="00EC121D" w:rsidRPr="00416CD6" w:rsidRDefault="00EC121D" w:rsidP="00EC121D">
      <w:pPr>
        <w:pStyle w:val="Normale1"/>
        <w:jc w:val="center"/>
        <w:rPr>
          <w:rFonts w:ascii="Times New Roman" w:eastAsia="Ubuntu" w:hAnsi="Times New Roman" w:cs="Times New Roman"/>
          <w:sz w:val="20"/>
          <w:szCs w:val="20"/>
          <w:u w:val="single"/>
        </w:rPr>
      </w:pPr>
    </w:p>
    <w:p w:rsidR="00EC121D" w:rsidRPr="00416CD6" w:rsidRDefault="00EC121D" w:rsidP="00EC121D">
      <w:pPr>
        <w:pStyle w:val="Normale1"/>
        <w:jc w:val="both"/>
        <w:rPr>
          <w:rFonts w:ascii="Times New Roman" w:hAnsi="Times New Roman" w:cs="Times New Roman"/>
          <w:sz w:val="20"/>
          <w:szCs w:val="20"/>
        </w:rPr>
      </w:pPr>
      <w:r w:rsidRPr="00416CD6">
        <w:rPr>
          <w:rFonts w:ascii="Times New Roman" w:eastAsia="Ubuntu" w:hAnsi="Times New Roman" w:cs="Times New Roman"/>
          <w:sz w:val="20"/>
          <w:szCs w:val="20"/>
        </w:rPr>
        <w:t xml:space="preserve">Il presente accordo costituisce allegato parte integrante del contratto </w:t>
      </w:r>
      <w:r>
        <w:rPr>
          <w:rFonts w:ascii="Times New Roman" w:eastAsia="Ubuntu" w:hAnsi="Times New Roman" w:cs="Times New Roman"/>
          <w:sz w:val="20"/>
          <w:szCs w:val="20"/>
        </w:rPr>
        <w:t xml:space="preserve">che sarà </w:t>
      </w:r>
      <w:r w:rsidRPr="00416CD6">
        <w:rPr>
          <w:rFonts w:ascii="Times New Roman" w:eastAsia="Ubuntu" w:hAnsi="Times New Roman" w:cs="Times New Roman"/>
          <w:sz w:val="20"/>
          <w:szCs w:val="20"/>
        </w:rPr>
        <w:t xml:space="preserve">siglato tra </w:t>
      </w:r>
      <w:r w:rsidR="00E878FB">
        <w:rPr>
          <w:rFonts w:ascii="Times New Roman" w:eastAsia="Ubuntu" w:hAnsi="Times New Roman" w:cs="Times New Roman"/>
          <w:sz w:val="20"/>
          <w:szCs w:val="20"/>
        </w:rPr>
        <w:t>i</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 xml:space="preserve">ed il Fornitore di servizi, designato Responsabile del trattamento di dati personali ai sensi </w:t>
      </w:r>
      <w:r w:rsidRPr="00416CD6">
        <w:rPr>
          <w:rFonts w:ascii="Times New Roman" w:hAnsi="Times New Roman" w:cs="Times New Roman"/>
          <w:sz w:val="20"/>
          <w:szCs w:val="20"/>
        </w:rPr>
        <w:t xml:space="preserve">D. </w:t>
      </w:r>
      <w:proofErr w:type="spellStart"/>
      <w:r w:rsidRPr="00416CD6">
        <w:rPr>
          <w:rFonts w:ascii="Times New Roman" w:hAnsi="Times New Roman" w:cs="Times New Roman"/>
          <w:sz w:val="20"/>
          <w:szCs w:val="20"/>
        </w:rPr>
        <w:t>Lgs</w:t>
      </w:r>
      <w:proofErr w:type="spellEnd"/>
      <w:r w:rsidRPr="00416CD6">
        <w:rPr>
          <w:rFonts w:ascii="Times New Roman" w:hAnsi="Times New Roman" w:cs="Times New Roman"/>
          <w:sz w:val="20"/>
          <w:szCs w:val="20"/>
        </w:rPr>
        <w:t xml:space="preserve">. n. 101 del 10/08/2018 di adeguamento della normativa nazionale al Regolamento UE n. 2016/679 del 27/04/2016 (GDPR </w:t>
      </w:r>
      <w:r w:rsidRPr="00416CD6">
        <w:rPr>
          <w:rFonts w:ascii="Times New Roman" w:eastAsia="Ubuntu" w:hAnsi="Times New Roman" w:cs="Times New Roman"/>
          <w:color w:val="000000"/>
          <w:sz w:val="20"/>
          <w:szCs w:val="20"/>
        </w:rPr>
        <w:t>e da ogni altra normativa applicabile)</w:t>
      </w:r>
      <w:r w:rsidRPr="00416CD6">
        <w:rPr>
          <w:rFonts w:ascii="Times New Roman" w:hAnsi="Times New Roman" w:cs="Times New Roman"/>
          <w:sz w:val="20"/>
          <w:szCs w:val="20"/>
        </w:rPr>
        <w:t xml:space="preserve">, </w:t>
      </w:r>
    </w:p>
    <w:p w:rsidR="00EC121D" w:rsidRPr="00416CD6" w:rsidRDefault="00EC121D" w:rsidP="00EC121D">
      <w:pPr>
        <w:pStyle w:val="Normale1"/>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1. Premesse</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Il presente Accordo si compone delle clausole di seguito rappresentate e dai seguenti allegati, che ne formano parte integrante e sostanziale:</w:t>
      </w:r>
    </w:p>
    <w:p w:rsidR="00EC121D" w:rsidRPr="00416CD6" w:rsidRDefault="00EC121D" w:rsidP="00EC121D">
      <w:pPr>
        <w:pStyle w:val="Normale1"/>
        <w:numPr>
          <w:ilvl w:val="0"/>
          <w:numId w:val="4"/>
        </w:numPr>
        <w:contextualSpacing/>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Allegato 1: Glossario</w:t>
      </w:r>
    </w:p>
    <w:p w:rsidR="00EC121D" w:rsidRPr="00416CD6" w:rsidRDefault="00EC121D" w:rsidP="00EC121D">
      <w:pPr>
        <w:pStyle w:val="Normale1"/>
        <w:numPr>
          <w:ilvl w:val="0"/>
          <w:numId w:val="4"/>
        </w:numPr>
        <w:contextualSpacing/>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 xml:space="preserve">Allegato 2: Appendice “Security” </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Bookman Old Style" w:hAnsi="Times New Roman" w:cs="Times New Roman"/>
          <w:sz w:val="20"/>
          <w:szCs w:val="20"/>
        </w:rPr>
        <w:t xml:space="preserve"> </w:t>
      </w:r>
    </w:p>
    <w:p w:rsidR="00EC121D" w:rsidRPr="00416CD6" w:rsidRDefault="00EC121D" w:rsidP="00EC121D">
      <w:pPr>
        <w:pStyle w:val="Normale1"/>
        <w:ind w:hanging="10"/>
        <w:jc w:val="center"/>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Le Parti convengono quanto segue:  </w:t>
      </w:r>
    </w:p>
    <w:p w:rsidR="00EC121D" w:rsidRPr="00416CD6" w:rsidRDefault="00EC121D" w:rsidP="00EC121D">
      <w:pPr>
        <w:pStyle w:val="Normale1"/>
        <w:ind w:hanging="10"/>
        <w:jc w:val="center"/>
        <w:rPr>
          <w:rFonts w:ascii="Times New Roman" w:eastAsia="Ubuntu" w:hAnsi="Times New Roman" w:cs="Times New Roman"/>
          <w:sz w:val="20"/>
          <w:szCs w:val="20"/>
        </w:rPr>
      </w:pPr>
    </w:p>
    <w:p w:rsidR="00EC121D" w:rsidRPr="00416CD6" w:rsidRDefault="00EC121D" w:rsidP="00EC121D">
      <w:pPr>
        <w:pStyle w:val="Normale1"/>
        <w:tabs>
          <w:tab w:val="left" w:pos="625"/>
        </w:tabs>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2. Trattamento dei dati nel rispetto delle istruzioni </w:t>
      </w:r>
      <w:r w:rsidR="00E878FB">
        <w:rPr>
          <w:rFonts w:ascii="Times New Roman" w:eastAsia="Ubuntu" w:hAnsi="Times New Roman" w:cs="Times New Roman"/>
          <w:b/>
          <w:sz w:val="20"/>
          <w:szCs w:val="20"/>
        </w:rPr>
        <w:t xml:space="preserve">del Liceo Classico Statale G. </w:t>
      </w:r>
      <w:proofErr w:type="spellStart"/>
      <w:r w:rsidR="00E878FB">
        <w:rPr>
          <w:rFonts w:ascii="Times New Roman" w:eastAsia="Ubuntu" w:hAnsi="Times New Roman" w:cs="Times New Roman"/>
          <w:b/>
          <w:sz w:val="20"/>
          <w:szCs w:val="20"/>
        </w:rPr>
        <w:t>Cevolani</w:t>
      </w:r>
      <w:proofErr w:type="spellEnd"/>
      <w:r w:rsidR="00E878FB">
        <w:rPr>
          <w:rFonts w:ascii="Times New Roman" w:eastAsia="Ubuntu" w:hAnsi="Times New Roman" w:cs="Times New Roman"/>
          <w:b/>
          <w:sz w:val="20"/>
          <w:szCs w:val="20"/>
        </w:rPr>
        <w:t xml:space="preserve"> di Cento</w:t>
      </w:r>
      <w:r w:rsidRPr="00416CD6">
        <w:rPr>
          <w:rFonts w:ascii="Times New Roman" w:eastAsia="Ubuntu" w:hAnsi="Times New Roman" w:cs="Times New Roman"/>
          <w:b/>
          <w:sz w:val="20"/>
          <w:szCs w:val="20"/>
        </w:rPr>
        <w:t xml:space="preserve"> (FE) </w:t>
      </w:r>
    </w:p>
    <w:p w:rsidR="00EC121D" w:rsidRPr="00416CD6" w:rsidRDefault="00EC121D" w:rsidP="00EC121D">
      <w:pPr>
        <w:pStyle w:val="Normale1"/>
        <w:tabs>
          <w:tab w:val="left" w:pos="625"/>
        </w:tabs>
        <w:rPr>
          <w:rFonts w:ascii="Times New Roman" w:eastAsia="Ubuntu" w:hAnsi="Times New Roman" w:cs="Times New Roman"/>
          <w:sz w:val="20"/>
          <w:szCs w:val="20"/>
        </w:rPr>
      </w:pPr>
      <w:r w:rsidRPr="00416CD6">
        <w:rPr>
          <w:rFonts w:ascii="Times New Roman" w:eastAsia="Ubuntu" w:hAnsi="Times New Roman" w:cs="Times New Roman"/>
          <w:color w:val="000000"/>
          <w:sz w:val="20"/>
          <w:szCs w:val="20"/>
        </w:rPr>
        <w:t xml:space="preserve">2.1 Il Fornitore, relativamente a tutti i Dati personali che tratta per conto </w:t>
      </w:r>
      <w:r w:rsidR="00E878FB" w:rsidRPr="00E878FB">
        <w:rPr>
          <w:rFonts w:ascii="Times New Roman" w:eastAsia="Ubuntu" w:hAnsi="Times New Roman" w:cs="Times New Roman"/>
          <w:sz w:val="20"/>
          <w:szCs w:val="20"/>
        </w:rPr>
        <w:t xml:space="preserve">del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color w:val="000000"/>
          <w:sz w:val="20"/>
          <w:szCs w:val="20"/>
        </w:rPr>
        <w:t>garantisce che:</w:t>
      </w:r>
    </w:p>
    <w:p w:rsidR="00EC121D" w:rsidRPr="00416CD6" w:rsidRDefault="00EC121D" w:rsidP="00EC121D">
      <w:pPr>
        <w:pStyle w:val="Normale1"/>
        <w:numPr>
          <w:ilvl w:val="0"/>
          <w:numId w:val="7"/>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tratta tali Dati personali solo ai fini dell’esecuzione dell’oggetto del contratto, e, successivamente, solo nel rispetto di quanto eventualmente concordato dalle Parti per iscritto, agendo pertanto, esclusivamente sulla base delle istruzioni documentate e fornite dall’Ente;</w:t>
      </w:r>
    </w:p>
    <w:p w:rsidR="00EC121D" w:rsidRPr="00416CD6" w:rsidRDefault="00EC121D" w:rsidP="00EC121D">
      <w:pPr>
        <w:pStyle w:val="Normale1"/>
        <w:numPr>
          <w:ilvl w:val="0"/>
          <w:numId w:val="7"/>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non trasferisce i Dati personali a soggetti terzi, se non nel rispetto delle condizioni di liceità assolte </w:t>
      </w:r>
      <w:r w:rsidR="00E878FB" w:rsidRPr="00E878FB">
        <w:rPr>
          <w:rFonts w:ascii="Times New Roman" w:eastAsia="Ubuntu" w:hAnsi="Times New Roman" w:cs="Times New Roman"/>
          <w:sz w:val="20"/>
          <w:szCs w:val="20"/>
        </w:rPr>
        <w:t xml:space="preserve">del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e a fronte di quanto disciplinato nel presente accordo;</w:t>
      </w:r>
    </w:p>
    <w:p w:rsidR="00EC121D" w:rsidRPr="00416CD6" w:rsidRDefault="00EC121D" w:rsidP="00EC121D">
      <w:pPr>
        <w:pStyle w:val="Normale1"/>
        <w:numPr>
          <w:ilvl w:val="0"/>
          <w:numId w:val="7"/>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non tratta o utilizza i Dati personali per finalità diverse da quelle per cui è conferito l’incarico </w:t>
      </w:r>
      <w:r w:rsidR="00E878FB">
        <w:rPr>
          <w:rFonts w:ascii="Times New Roman" w:eastAsia="Ubuntu" w:hAnsi="Times New Roman" w:cs="Times New Roman"/>
          <w:sz w:val="20"/>
          <w:szCs w:val="20"/>
        </w:rPr>
        <w:t>da</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 xml:space="preserve">financo per trattamenti aventi finalità compatibili con quelle originarie; </w:t>
      </w:r>
    </w:p>
    <w:p w:rsidR="00EC121D" w:rsidRPr="00416CD6" w:rsidRDefault="00EC121D" w:rsidP="00EC121D">
      <w:pPr>
        <w:pStyle w:val="Normale1"/>
        <w:numPr>
          <w:ilvl w:val="0"/>
          <w:numId w:val="7"/>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prima di iniziare ogni trattamento e, ove occorra, in qualsiasi altro momento, informerà </w:t>
      </w:r>
      <w:r w:rsidR="00E878FB">
        <w:rPr>
          <w:rFonts w:ascii="Times New Roman" w:eastAsia="Ubuntu" w:hAnsi="Times New Roman" w:cs="Times New Roman"/>
          <w:sz w:val="20"/>
          <w:szCs w:val="20"/>
        </w:rPr>
        <w:t>i</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Cento (FE)</w:t>
      </w:r>
      <w:r w:rsidRPr="00416CD6">
        <w:rPr>
          <w:rFonts w:ascii="Times New Roman" w:eastAsia="Ubuntu" w:hAnsi="Times New Roman" w:cs="Times New Roman"/>
          <w:sz w:val="20"/>
          <w:szCs w:val="20"/>
        </w:rPr>
        <w:t xml:space="preserve"> se, a suo parere, una qualsiasi istruzione fornita  </w:t>
      </w:r>
      <w:r w:rsidR="00E878FB">
        <w:rPr>
          <w:rFonts w:ascii="Times New Roman" w:eastAsia="Ubuntu" w:hAnsi="Times New Roman" w:cs="Times New Roman"/>
          <w:sz w:val="20"/>
          <w:szCs w:val="20"/>
        </w:rPr>
        <w:t>da</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 xml:space="preserve">si ponga in violazione di Normativa applicabile; </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2.2. Al fine di dare seguito alle eventuali richieste da parte di soggetti interessati, il Fornitore si obbliga ad adottare: </w:t>
      </w:r>
    </w:p>
    <w:p w:rsidR="00EC121D" w:rsidRPr="00416CD6" w:rsidRDefault="00EC121D" w:rsidP="00EC121D">
      <w:pPr>
        <w:pStyle w:val="Normale1"/>
        <w:numPr>
          <w:ilvl w:val="0"/>
          <w:numId w:val="6"/>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procedure idonee a garantire il rispetto dei diritti e delle richieste formulate </w:t>
      </w:r>
      <w:r w:rsidR="00E878FB">
        <w:rPr>
          <w:rFonts w:ascii="Times New Roman" w:eastAsia="Ubuntu" w:hAnsi="Times New Roman" w:cs="Times New Roman"/>
          <w:sz w:val="20"/>
          <w:szCs w:val="20"/>
        </w:rPr>
        <w:t>a</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dagli interessati relativamente ai loro dati personali;</w:t>
      </w:r>
    </w:p>
    <w:p w:rsidR="00EC121D" w:rsidRPr="00416CD6" w:rsidRDefault="00EC121D" w:rsidP="00EC121D">
      <w:pPr>
        <w:pStyle w:val="Normale1"/>
        <w:numPr>
          <w:ilvl w:val="0"/>
          <w:numId w:val="6"/>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procedure atte a garantire l’aggiornamento, la modifica e la correzione, su richiesta </w:t>
      </w:r>
      <w:r w:rsidR="00E878FB" w:rsidRPr="00E878FB">
        <w:rPr>
          <w:rFonts w:ascii="Times New Roman" w:eastAsia="Ubuntu" w:hAnsi="Times New Roman" w:cs="Times New Roman"/>
          <w:sz w:val="20"/>
          <w:szCs w:val="20"/>
        </w:rPr>
        <w:t xml:space="preserve">del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 xml:space="preserve">dei dati personali  di ogni interessato; </w:t>
      </w:r>
    </w:p>
    <w:p w:rsidR="00EC121D" w:rsidRPr="00416CD6" w:rsidRDefault="00EC121D" w:rsidP="00EC121D">
      <w:pPr>
        <w:pStyle w:val="Normale1"/>
        <w:numPr>
          <w:ilvl w:val="0"/>
          <w:numId w:val="6"/>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procedure atte a garantire la cancellazione o il blocco dell’accesso ai dati personali  a richiesta </w:t>
      </w:r>
      <w:r w:rsidR="00E878FB">
        <w:rPr>
          <w:rFonts w:ascii="Times New Roman" w:eastAsia="Ubuntu" w:hAnsi="Times New Roman" w:cs="Times New Roman"/>
          <w:sz w:val="20"/>
          <w:szCs w:val="20"/>
        </w:rPr>
        <w:t>da</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Cento (FE)</w:t>
      </w:r>
      <w:r w:rsidRPr="00416CD6">
        <w:rPr>
          <w:rFonts w:ascii="Times New Roman" w:eastAsia="Ubuntu" w:hAnsi="Times New Roman" w:cs="Times New Roman"/>
          <w:sz w:val="20"/>
          <w:szCs w:val="20"/>
        </w:rPr>
        <w:t xml:space="preserve">; </w:t>
      </w:r>
    </w:p>
    <w:p w:rsidR="00EC121D" w:rsidRPr="00416CD6" w:rsidRDefault="00EC121D" w:rsidP="00EC121D">
      <w:pPr>
        <w:pStyle w:val="Normale1"/>
        <w:numPr>
          <w:ilvl w:val="0"/>
          <w:numId w:val="6"/>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procedure atte a garantire il diritto degli interessati alla limitazione di trattamento, su richiesta </w:t>
      </w:r>
      <w:r w:rsidR="00E878FB" w:rsidRPr="00E878FB">
        <w:rPr>
          <w:rFonts w:ascii="Times New Roman" w:eastAsia="Ubuntu" w:hAnsi="Times New Roman" w:cs="Times New Roman"/>
          <w:sz w:val="20"/>
          <w:szCs w:val="20"/>
        </w:rPr>
        <w:t xml:space="preserve">del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Cento (FE)</w:t>
      </w:r>
      <w:r w:rsidRPr="00416CD6">
        <w:rPr>
          <w:rFonts w:ascii="Times New Roman" w:eastAsia="Ubuntu" w:hAnsi="Times New Roman" w:cs="Times New Roman"/>
          <w:sz w:val="20"/>
          <w:szCs w:val="20"/>
        </w:rPr>
        <w:t xml:space="preserve">.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2.3 Il Responsabile del trattamento deve garantire e fornire </w:t>
      </w:r>
      <w:r w:rsidR="00E878FB">
        <w:rPr>
          <w:rFonts w:ascii="Times New Roman" w:eastAsia="Ubuntu" w:hAnsi="Times New Roman" w:cs="Times New Roman"/>
          <w:sz w:val="20"/>
          <w:szCs w:val="20"/>
        </w:rPr>
        <w:t>a</w:t>
      </w:r>
      <w:r w:rsidR="00E878FB" w:rsidRPr="00E878FB">
        <w:rPr>
          <w:rFonts w:ascii="Times New Roman" w:eastAsia="Ubuntu" w:hAnsi="Times New Roman" w:cs="Times New Roman"/>
          <w:sz w:val="20"/>
          <w:szCs w:val="20"/>
        </w:rPr>
        <w:t xml:space="preserve">l Liceo </w:t>
      </w:r>
      <w:r w:rsidR="00E878FB">
        <w:rPr>
          <w:rFonts w:ascii="Times New Roman" w:eastAsia="Ubuntu" w:hAnsi="Times New Roman" w:cs="Times New Roman"/>
          <w:sz w:val="20"/>
          <w:szCs w:val="20"/>
        </w:rPr>
        <w:t xml:space="preserve">Classico Statale G. </w:t>
      </w:r>
      <w:proofErr w:type="spellStart"/>
      <w:r w:rsidR="00E878FB">
        <w:rPr>
          <w:rFonts w:ascii="Times New Roman" w:eastAsia="Ubuntu" w:hAnsi="Times New Roman" w:cs="Times New Roman"/>
          <w:sz w:val="20"/>
          <w:szCs w:val="20"/>
        </w:rPr>
        <w:t>Cevolani</w:t>
      </w:r>
      <w:proofErr w:type="spellEnd"/>
      <w:r w:rsidR="00E878FB">
        <w:rPr>
          <w:rFonts w:ascii="Times New Roman" w:eastAsia="Ubuntu" w:hAnsi="Times New Roman" w:cs="Times New Roman"/>
          <w:sz w:val="20"/>
          <w:szCs w:val="20"/>
        </w:rPr>
        <w:t xml:space="preserve"> di </w:t>
      </w:r>
      <w:r w:rsidR="00E878FB" w:rsidRPr="00E878FB">
        <w:rPr>
          <w:rFonts w:ascii="Times New Roman" w:eastAsia="Ubuntu" w:hAnsi="Times New Roman" w:cs="Times New Roman"/>
          <w:sz w:val="20"/>
          <w:szCs w:val="20"/>
        </w:rPr>
        <w:t xml:space="preserve">Cento (FE) </w:t>
      </w:r>
      <w:r w:rsidRPr="00416CD6">
        <w:rPr>
          <w:rFonts w:ascii="Times New Roman" w:eastAsia="Ubuntu" w:hAnsi="Times New Roman" w:cs="Times New Roman"/>
          <w:sz w:val="20"/>
          <w:szCs w:val="20"/>
        </w:rPr>
        <w:t xml:space="preserve">cooperazione, assistenza e le informazioni che potrebbero essere ragionevolmente richieste dalla stessa, per consentirle di adempiere ai propri obblighi ai sensi della normativa applicabile, ivi compresi i provvedimenti e le specifiche decisioni del Garante per la </w:t>
      </w:r>
      <w:r w:rsidR="00E878FB">
        <w:rPr>
          <w:rFonts w:ascii="Times New Roman" w:eastAsia="Ubuntu" w:hAnsi="Times New Roman" w:cs="Times New Roman"/>
          <w:sz w:val="20"/>
          <w:szCs w:val="20"/>
        </w:rPr>
        <w:t xml:space="preserve">protezione dei dati personali.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2.4 Il Responsabile del trattamento, anche nel rispetto di quanto previsto all’art. 30 del Regolamento, deve mantenere, compilare e rendere disponibile a richiesta della stessa, un registro dei trattamenti dati personali che riporti tutte le informazioni richieste dalla norma.</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2.5 Il Responsabile del trattamento assicura la massima collaborazione al fine dell’esperimento delle valutazioni di impatto ex art. 35 del GDPR che l’Ente intenderà esperire sui trattamenti che rivelano, a Suo insindacabile giudizio, un rischio elevato per i diritti e le libertà delle persone fisiche. </w:t>
      </w:r>
    </w:p>
    <w:p w:rsidR="00EC121D" w:rsidRPr="00416CD6" w:rsidRDefault="00EC121D" w:rsidP="00EC121D">
      <w:pPr>
        <w:pStyle w:val="Normale1"/>
        <w:rPr>
          <w:rFonts w:ascii="Times New Roman" w:eastAsia="Ubuntu" w:hAnsi="Times New Roman" w:cs="Times New Roman"/>
          <w:sz w:val="20"/>
          <w:szCs w:val="20"/>
        </w:rPr>
      </w:pPr>
    </w:p>
    <w:p w:rsidR="00EC121D" w:rsidRPr="00416CD6" w:rsidRDefault="00EC121D" w:rsidP="00EC121D">
      <w:pPr>
        <w:pStyle w:val="Normale1"/>
        <w:tabs>
          <w:tab w:val="center" w:pos="658"/>
          <w:tab w:val="center" w:pos="3239"/>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ab/>
        <w:t>3. Le misure di sicurezza</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3.1 Il Responsabile del trattamento deve conservare i dati personali garantendo la separazione di tipo logico dai dati personali trattati per conto di terze parti o per proprio conto.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3.2 Il Responsabile del trattamento deve adottare e mantenere appropriate misure di sicurezza, sia tecniche che organizzative, per proteggere i dati personali da eventuali distruzioni o perdite di natura illecita o accidentale, danni, alterazioni, divulgazioni o accessi non autorizzati, ed in particolare, laddove il trattamento comporti trasmissioni di dati su una rete, da qualsiasi altra forma illecita di trattamento.</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3.3 Il Responsabile del trattamento deve adottare misure tecniche ed organizzative adeguate per salvaguardare la sicurezza di qualsiasi rete di comunicazione elettronica o dei servizi forniti all’Ente, con specifico riferimento alle misure intese a prevenire l'intercettazione di comunicazioni o l'accesso non autorizzato a qualsiasi computer o sistema.</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3.4 Il Responsabile del trattamento adotta le misure di sicurezza di cui all’Appendice “Security” allegata al presente accordo. In ragione della riservatezza delle evidenze di analisi di conformità alle misure di cui alla suddetta Appendice, il Fornitore condivide con l’Ente tali informazioni solo in caso di violazione o data </w:t>
      </w:r>
      <w:proofErr w:type="spellStart"/>
      <w:r w:rsidRPr="00416CD6">
        <w:rPr>
          <w:rFonts w:ascii="Times New Roman" w:eastAsia="Ubuntu" w:hAnsi="Times New Roman" w:cs="Times New Roman"/>
          <w:sz w:val="20"/>
          <w:szCs w:val="20"/>
        </w:rPr>
        <w:t>breach</w:t>
      </w:r>
      <w:proofErr w:type="spellEnd"/>
      <w:r w:rsidRPr="00416CD6">
        <w:rPr>
          <w:rFonts w:ascii="Times New Roman" w:eastAsia="Ubuntu" w:hAnsi="Times New Roman" w:cs="Times New Roman"/>
          <w:sz w:val="20"/>
          <w:szCs w:val="20"/>
        </w:rPr>
        <w:t xml:space="preserve">. Si sottolinea che, ad ogni </w:t>
      </w:r>
      <w:r w:rsidRPr="00416CD6">
        <w:rPr>
          <w:rFonts w:ascii="Times New Roman" w:eastAsia="Ubuntu" w:hAnsi="Times New Roman" w:cs="Times New Roman"/>
          <w:sz w:val="20"/>
          <w:szCs w:val="20"/>
        </w:rPr>
        <w:lastRenderedPageBreak/>
        <w:t>buon conto, la sottoscrizione del presente accordo, e dei suoi allegati, equivale ad attestazione della conformità del Responsabile, e della soluzione informatica prodotta/sviluppata, alle misure indicate nell’appendice “Security”.</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3.5 </w:t>
      </w:r>
      <w:r w:rsidRPr="00416CD6">
        <w:rPr>
          <w:rFonts w:ascii="Times New Roman" w:eastAsia="Ubuntu" w:hAnsi="Times New Roman" w:cs="Times New Roman"/>
          <w:i/>
          <w:sz w:val="20"/>
          <w:szCs w:val="20"/>
        </w:rPr>
        <w:t>(ove esistente)</w:t>
      </w:r>
      <w:r w:rsidRPr="00416CD6">
        <w:rPr>
          <w:rFonts w:ascii="Times New Roman" w:eastAsia="Ubuntu" w:hAnsi="Times New Roman" w:cs="Times New Roman"/>
          <w:sz w:val="20"/>
          <w:szCs w:val="20"/>
        </w:rPr>
        <w:t xml:space="preserve"> Il Responsabile del trattamento dà esecuzione al contratto in aderenza alle politiche dell’Ente in materia di privacy e sicurezza informatica, tra le quali:</w:t>
      </w:r>
    </w:p>
    <w:p w:rsidR="00EC121D" w:rsidRPr="00416CD6" w:rsidRDefault="00EC121D" w:rsidP="00EC121D">
      <w:pPr>
        <w:pStyle w:val="Normale1"/>
        <w:numPr>
          <w:ilvl w:val="0"/>
          <w:numId w:val="3"/>
        </w:numPr>
        <w:pBdr>
          <w:top w:val="nil"/>
          <w:left w:val="nil"/>
          <w:bottom w:val="nil"/>
          <w:right w:val="nil"/>
          <w:between w:val="nil"/>
        </w:pBdr>
        <w:contextualSpacing/>
        <w:jc w:val="both"/>
        <w:rPr>
          <w:rFonts w:ascii="Times New Roman" w:hAnsi="Times New Roman" w:cs="Times New Roman"/>
          <w:color w:val="000000"/>
          <w:sz w:val="20"/>
          <w:szCs w:val="20"/>
        </w:rPr>
      </w:pPr>
      <w:bookmarkStart w:id="1" w:name="_30j0zll" w:colFirst="0" w:colLast="0"/>
      <w:bookmarkEnd w:id="1"/>
      <w:r w:rsidRPr="00416CD6">
        <w:rPr>
          <w:rFonts w:ascii="Times New Roman" w:eastAsia="Bookman Old Style" w:hAnsi="Times New Roman" w:cs="Times New Roman"/>
          <w:sz w:val="20"/>
          <w:szCs w:val="20"/>
        </w:rPr>
        <w:t>……...</w:t>
      </w:r>
    </w:p>
    <w:p w:rsidR="00EC121D" w:rsidRPr="00416CD6" w:rsidRDefault="00EC121D" w:rsidP="00EC121D">
      <w:pPr>
        <w:pStyle w:val="Normale1"/>
        <w:numPr>
          <w:ilvl w:val="0"/>
          <w:numId w:val="3"/>
        </w:numPr>
        <w:pBdr>
          <w:top w:val="nil"/>
          <w:left w:val="nil"/>
          <w:bottom w:val="nil"/>
          <w:right w:val="nil"/>
          <w:between w:val="nil"/>
        </w:pBdr>
        <w:contextualSpacing/>
        <w:jc w:val="both"/>
        <w:rPr>
          <w:rFonts w:ascii="Times New Roman" w:hAnsi="Times New Roman" w:cs="Times New Roman"/>
          <w:color w:val="000000"/>
          <w:sz w:val="20"/>
          <w:szCs w:val="20"/>
        </w:rPr>
      </w:pPr>
      <w:r w:rsidRPr="00416CD6">
        <w:rPr>
          <w:rFonts w:ascii="Times New Roman" w:eastAsia="Bookman Old Style" w:hAnsi="Times New Roman" w:cs="Times New Roman"/>
          <w:sz w:val="20"/>
          <w:szCs w:val="20"/>
        </w:rPr>
        <w:t>……...</w:t>
      </w:r>
      <w:r w:rsidRPr="00416CD6">
        <w:rPr>
          <w:rFonts w:ascii="Times New Roman" w:eastAsia="Bookman Old Style" w:hAnsi="Times New Roman" w:cs="Times New Roman"/>
          <w:color w:val="000000"/>
          <w:sz w:val="20"/>
          <w:szCs w:val="20"/>
        </w:rPr>
        <w:t>.</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ed eventuali successivi aggiornamenti delle medesime policy.</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Le stesse sono consegnate a seguito della firma del presente accordo.</w:t>
      </w:r>
    </w:p>
    <w:p w:rsidR="00EC121D" w:rsidRPr="00416CD6" w:rsidRDefault="00EC121D" w:rsidP="00EC121D">
      <w:pPr>
        <w:pStyle w:val="Normale1"/>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tabs>
          <w:tab w:val="center" w:pos="658"/>
          <w:tab w:val="center" w:pos="3239"/>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4. Analisi dei rischi, privacy by design e privacy by default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4.1 Con riferimento agli esiti dell’analisi dei rischi effettuata dall’Ente sui trattamenti di dati personali cui concorre il Fornitore, lo stesso assicura massima cooperazione e assistenza al fine di dare effettività alle azioni di mitigazione previste dall’Ente per affrontare eventuali rischi identificati.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4.2 Il Fornitore dovrà consentire all’Ente, tenuto conto dello stato della tecnica, dei costi, della natura, dell’ambito e della finalità del relativo trattamento, di adottare, sia nella fase iniziale di determinazione dei mezzi di trattamento, che durante il trattamento stesso, ogni misura tecnica ed organizzativa che si riterrà opportuna per garantire ed attuare i principi previsti in materia di protezione dati e a tutelare i diritti degli interessati.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4.3 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4.4 Il Responsabile del trattamento dà esecuzione al contratto in aderenza alle policy di privacy by design e by default adottate dall’Ente e specificatamente comunicate.</w:t>
      </w:r>
    </w:p>
    <w:p w:rsidR="00EC121D" w:rsidRPr="00416CD6" w:rsidRDefault="00EC121D" w:rsidP="00EC121D">
      <w:pPr>
        <w:pStyle w:val="Normale1"/>
        <w:tabs>
          <w:tab w:val="center" w:pos="426"/>
          <w:tab w:val="center" w:pos="4181"/>
        </w:tabs>
        <w:jc w:val="both"/>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tabs>
          <w:tab w:val="center" w:pos="658"/>
          <w:tab w:val="center" w:pos="3239"/>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5. Soggetti autorizzati ad effettuare i trattamenti - Designazione</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5.1 Il Responsabile del trattamento garantisce competenze ed affidabilità dei propri dipendenti e collaboratori autorizzati al trattamento dei dati personali (di seguito anche incaricati) effettuati per conto dell’Ente.</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5.2 Il Responsabile del trattamento garantisce che gli incaricati abbiano ricevuto adeguata formazione in materia di protezione dei dati personali e sicurezza informatica, consegnando all’Ente le evidenze di tale formazione.</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5.3  Il Responsabile del trattamento, con riferimento alla protezione e gestione dei dati personali, impone ai propri incaricati obblighi di riservatezza non meno onerosi di quelli previsti nel Contratto di cui il presente documento costituisce parte integrante. In ogni caso il Fornitore sarà direttamente ritenuto responsabile per qualsiasi divulgazione di dati personali dovesse realizzarsi ad opera di tali soggetti. </w:t>
      </w:r>
    </w:p>
    <w:p w:rsidR="00EC121D" w:rsidRPr="00416CD6" w:rsidRDefault="00EC121D" w:rsidP="00EC121D">
      <w:pPr>
        <w:pStyle w:val="Normale1"/>
        <w:tabs>
          <w:tab w:val="center" w:pos="657"/>
          <w:tab w:val="center" w:pos="4786"/>
        </w:tabs>
        <w:rPr>
          <w:rFonts w:ascii="Times New Roman" w:eastAsia="Ubuntu" w:hAnsi="Times New Roman" w:cs="Times New Roman"/>
          <w:b/>
          <w:sz w:val="20"/>
          <w:szCs w:val="20"/>
        </w:rPr>
      </w:pPr>
    </w:p>
    <w:p w:rsidR="00EC121D" w:rsidRPr="00416CD6" w:rsidRDefault="00EC121D" w:rsidP="00EC121D">
      <w:pPr>
        <w:pStyle w:val="Normale1"/>
        <w:tabs>
          <w:tab w:val="center" w:pos="657"/>
          <w:tab w:val="center" w:pos="4786"/>
        </w:tabs>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6. Sub-Responsabili del trattamento di dati personali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6.1 Il Fornitore, nell’eventualità   di conferimento di parte del trattamento dei dati personali a soggetti terzi sub-responsabili, impone agli stessi condizioni vincolanti in materia di trattamento dei dati personali non meno onerose di quelle contenute nel presente Accordo.</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6.2 Su specifica richiesta dell’Ente, il Fornitore dovrà provvedere a che ogni Sub-Responsabile sottoscriva direttamente con l’Ente un accordo di trattamento dei dati che, a meno di ulteriori e specifiche esigenze, preveda sostanzialmente gli stessi termini del presente Accordo.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6.3 In tutti i casi, il Fornitore si assume la responsabilità nei confronti dell’Ente per qualsiasi violazione od omissione realizzati da un Sub-Responsabile o da altri terzi soggetti incaricati dallo stesso, indipendentemente dal fatto che il Fornitore abbia o meno rispettato i propri obblighi contrattuali, ivi comprese le conseguenze patrimoniali derivanti da tali violazioni od omissioni. </w:t>
      </w:r>
    </w:p>
    <w:p w:rsidR="00EC121D" w:rsidRPr="00416CD6" w:rsidRDefault="00EC121D" w:rsidP="00EC121D">
      <w:pPr>
        <w:pStyle w:val="Normale1"/>
        <w:jc w:val="both"/>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7. Trattamento dei dati personali fuori dall’area economica europea </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7.1 L’Ente non autorizza il trasferimento dei dati personali oggetto di trattamento al di fuori dell’Unione Europea.</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8. Cancellazione dei dati personali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8.1 Il Fornitore provvede alla cancellazione dei dati personali trattati per l’esecuzione del presente contratto al termine del periodo di conservazione e in qualsiasi circostanza in cui sia richiesto dall’Ente, compresa l’ipotesi in cui la stessa debba avvenire per dare seguito a specifica richiesta da parte di interessati.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8.2 Alla cessazione del Contratto e, conseguentemente del presente Accordo, per qualsiasi causa avvenga, i dati personali dovranno, a discrezione dell’Ente, essere distrutti o restituiti alla stessa, unitamente a qualsiasi supporto fisico o documento contenente dati personali di proprietà dell’Ente. </w:t>
      </w:r>
    </w:p>
    <w:p w:rsidR="00EC121D" w:rsidRPr="00416CD6" w:rsidRDefault="00EC121D" w:rsidP="00EC121D">
      <w:pPr>
        <w:pStyle w:val="Normale1"/>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9.  Audit</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9.1 Il Fornitore si rende disponibile a specifici audit in tema di privacy e sicurezza informatica da parte dell’Ente.</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9.2 Il Fornitore consente, pertanto, all’Ente l’accesso ai propri locali e ai locali di qualsiasi Sub-Responsabile, ai computer e altri sistemi informativi, ad atti, documenti e a quanto ragionevolmente richiesto per verificare che il Fornitore, e/o i suoi Sub-fornitori, rispettino gli obblighi derivanti dalla normativa in materia di protezione dei dati personali e, quindi, da questo Accordo.</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lastRenderedPageBreak/>
        <w:t xml:space="preserve">9.3 L’esperimento di tali audit non deve avere ad oggetto dati di terze parti, informazioni sottoposte ad obblighi di riservatezza degli interessi commerciali. </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9.4 Nel caso in cui l’audit fornisca evidenze di violazioni alla normativa in materia di protezione dei dati personali e al presente Accordo, quali ad esempio quelle indicate all’art. 83 comma 5 (con esclusione della </w:t>
      </w:r>
      <w:proofErr w:type="spellStart"/>
      <w:r w:rsidRPr="00416CD6">
        <w:rPr>
          <w:rFonts w:ascii="Times New Roman" w:eastAsia="Ubuntu" w:hAnsi="Times New Roman" w:cs="Times New Roman"/>
          <w:sz w:val="20"/>
          <w:szCs w:val="20"/>
        </w:rPr>
        <w:t>lett</w:t>
      </w:r>
      <w:proofErr w:type="spellEnd"/>
      <w:r w:rsidRPr="00416CD6">
        <w:rPr>
          <w:rFonts w:ascii="Times New Roman" w:eastAsia="Ubuntu" w:hAnsi="Times New Roman" w:cs="Times New Roman"/>
          <w:sz w:val="20"/>
          <w:szCs w:val="20"/>
        </w:rPr>
        <w:t>. e) l’Ente può risolvere il Contratto o chiedere una cospicua riduzione del prezzo.</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9.5 Nel caso in cui l’audit fornisca evidenze di violazioni gravi, quali ad esempio quelle indicate all’art. 83 comma 4 </w:t>
      </w:r>
      <w:proofErr w:type="spellStart"/>
      <w:r w:rsidRPr="00416CD6">
        <w:rPr>
          <w:rFonts w:ascii="Times New Roman" w:eastAsia="Ubuntu" w:hAnsi="Times New Roman" w:cs="Times New Roman"/>
          <w:sz w:val="20"/>
          <w:szCs w:val="20"/>
        </w:rPr>
        <w:t>lett</w:t>
      </w:r>
      <w:proofErr w:type="spellEnd"/>
      <w:r w:rsidRPr="00416CD6">
        <w:rPr>
          <w:rFonts w:ascii="Times New Roman" w:eastAsia="Ubuntu" w:hAnsi="Times New Roman" w:cs="Times New Roman"/>
          <w:sz w:val="20"/>
          <w:szCs w:val="20"/>
        </w:rPr>
        <w:t>. a), l’Ente può chiedere una cospicua riduzione del prezzo.</w:t>
      </w:r>
    </w:p>
    <w:p w:rsidR="00EC121D" w:rsidRPr="00416CD6" w:rsidRDefault="00EC121D" w:rsidP="00EC121D">
      <w:pPr>
        <w:pStyle w:val="Normale1"/>
        <w:pBdr>
          <w:top w:val="nil"/>
          <w:left w:val="nil"/>
          <w:bottom w:val="nil"/>
          <w:right w:val="nil"/>
          <w:between w:val="nil"/>
        </w:pBdr>
        <w:tabs>
          <w:tab w:val="center" w:pos="657"/>
          <w:tab w:val="center" w:pos="4786"/>
        </w:tabs>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9.6 Il rifiuto del Fornitore di consentire l’audit all’Ente comporta la risoluzione del contratto.</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 </w:t>
      </w:r>
    </w:p>
    <w:p w:rsidR="00EC121D" w:rsidRPr="00416CD6" w:rsidRDefault="00EC121D" w:rsidP="00EC121D">
      <w:pPr>
        <w:pStyle w:val="Normale1"/>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10.  Indagini dell’Autorità e reclami</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Nei limiti della normativa applicabile, il Fornitore o qualsiasi Sub-Responsabile informa senza alcun indugio l’Ente di qualsiasi:</w:t>
      </w:r>
    </w:p>
    <w:p w:rsidR="00EC121D" w:rsidRPr="00416CD6" w:rsidRDefault="00EC121D" w:rsidP="00EC121D">
      <w:pPr>
        <w:pStyle w:val="Normale1"/>
        <w:numPr>
          <w:ilvl w:val="0"/>
          <w:numId w:val="2"/>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richiesta o comunicazione promanante dal Garante per la protezione dei dati personali o da forze dell’ordine;</w:t>
      </w:r>
    </w:p>
    <w:p w:rsidR="00EC121D" w:rsidRPr="00416CD6" w:rsidRDefault="00EC121D" w:rsidP="00EC121D">
      <w:pPr>
        <w:pStyle w:val="Normale1"/>
        <w:numPr>
          <w:ilvl w:val="0"/>
          <w:numId w:val="2"/>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istanza ricevuta da soggetti interessati.</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Il Fornitore fornisce, in esecuzione del contratto e, quindi, gratuitamente, tutta la dovuta assistenza all’Ente per garantire che la stessa possa rispondere a tali istanze o comunicazioni nei termini temporali previsti dalla normativa e dai regolamentari applicabili. </w:t>
      </w:r>
    </w:p>
    <w:p w:rsidR="00EC121D" w:rsidRPr="00416CD6" w:rsidRDefault="00EC121D" w:rsidP="00EC121D">
      <w:pPr>
        <w:pStyle w:val="Normale1"/>
        <w:rPr>
          <w:rFonts w:ascii="Times New Roman" w:eastAsia="Bookman Old Style" w:hAnsi="Times New Roman" w:cs="Times New Roman"/>
          <w:sz w:val="20"/>
          <w:szCs w:val="20"/>
        </w:rPr>
      </w:pP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11. Violazione dei dati personali e obblighi di notifica </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11.1 Il Fornitore, in virtù di quanto previsto dall’art. 33 del Regolamento,   dovrà comunicare a mezzo di posta elettronica certificata all’Ente nel minor tempo possibile, e comunque non oltre 24 (ventiquattro) ore da quando ne abbia avuto notizia, qualsiasi violazione di sicurezza che abbia comportato accidentalmente o in modo illecito la distruzione, la perdita, la modifica, la divulgazione non autorizzata o l'accesso ai dati personali trasmessi, conservati o comunque trattati, ivi incluse quelle che abbiano riguardato i propri sub-Fornitori. Tale comunicazione deve contenere ogni informazione utile alla gestione del </w:t>
      </w:r>
      <w:r w:rsidRPr="00416CD6">
        <w:rPr>
          <w:rFonts w:ascii="Times New Roman" w:eastAsia="Ubuntu" w:hAnsi="Times New Roman" w:cs="Times New Roman"/>
          <w:i/>
          <w:sz w:val="20"/>
          <w:szCs w:val="20"/>
        </w:rPr>
        <w:t xml:space="preserve">data </w:t>
      </w:r>
      <w:proofErr w:type="spellStart"/>
      <w:r w:rsidRPr="00416CD6">
        <w:rPr>
          <w:rFonts w:ascii="Times New Roman" w:eastAsia="Ubuntu" w:hAnsi="Times New Roman" w:cs="Times New Roman"/>
          <w:i/>
          <w:sz w:val="20"/>
          <w:szCs w:val="20"/>
        </w:rPr>
        <w:t>breach</w:t>
      </w:r>
      <w:proofErr w:type="spellEnd"/>
      <w:r w:rsidRPr="00416CD6">
        <w:rPr>
          <w:rFonts w:ascii="Times New Roman" w:eastAsia="Ubuntu" w:hAnsi="Times New Roman" w:cs="Times New Roman"/>
          <w:i/>
          <w:sz w:val="20"/>
          <w:szCs w:val="20"/>
        </w:rPr>
        <w:t xml:space="preserve">, </w:t>
      </w:r>
      <w:r w:rsidRPr="00416CD6">
        <w:rPr>
          <w:rFonts w:ascii="Times New Roman" w:eastAsia="Ubuntu" w:hAnsi="Times New Roman" w:cs="Times New Roman"/>
          <w:sz w:val="20"/>
          <w:szCs w:val="20"/>
        </w:rPr>
        <w:t>oltre a:</w:t>
      </w:r>
    </w:p>
    <w:p w:rsidR="00EC121D" w:rsidRPr="00416CD6" w:rsidRDefault="00EC121D" w:rsidP="00EC121D">
      <w:pPr>
        <w:pStyle w:val="Normale1"/>
        <w:numPr>
          <w:ilvl w:val="0"/>
          <w:numId w:val="1"/>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descrivere la natura della violazione dei dati personali; </w:t>
      </w:r>
    </w:p>
    <w:p w:rsidR="00EC121D" w:rsidRPr="00416CD6" w:rsidRDefault="00EC121D" w:rsidP="00EC121D">
      <w:pPr>
        <w:pStyle w:val="Normale1"/>
        <w:numPr>
          <w:ilvl w:val="0"/>
          <w:numId w:val="1"/>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le categorie e il numero approssimativo di interessati in questione nonché le categorie e il numero approssimativo di registrazioni dei dati personali in questione;</w:t>
      </w:r>
    </w:p>
    <w:p w:rsidR="00EC121D" w:rsidRPr="00416CD6" w:rsidRDefault="00EC121D" w:rsidP="00EC121D">
      <w:pPr>
        <w:pStyle w:val="Normale1"/>
        <w:numPr>
          <w:ilvl w:val="0"/>
          <w:numId w:val="1"/>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i recapiti del DPO nominato o del soggetto competente alla gestione del data </w:t>
      </w:r>
      <w:proofErr w:type="spellStart"/>
      <w:r w:rsidRPr="00416CD6">
        <w:rPr>
          <w:rFonts w:ascii="Times New Roman" w:eastAsia="Ubuntu" w:hAnsi="Times New Roman" w:cs="Times New Roman"/>
          <w:sz w:val="20"/>
          <w:szCs w:val="20"/>
        </w:rPr>
        <w:t>breach</w:t>
      </w:r>
      <w:proofErr w:type="spellEnd"/>
      <w:r w:rsidRPr="00416CD6">
        <w:rPr>
          <w:rFonts w:ascii="Times New Roman" w:eastAsia="Ubuntu" w:hAnsi="Times New Roman" w:cs="Times New Roman"/>
          <w:sz w:val="20"/>
          <w:szCs w:val="20"/>
        </w:rPr>
        <w:t>;</w:t>
      </w:r>
    </w:p>
    <w:p w:rsidR="00EC121D" w:rsidRPr="00416CD6" w:rsidRDefault="00EC121D" w:rsidP="00EC121D">
      <w:pPr>
        <w:pStyle w:val="Normale1"/>
        <w:numPr>
          <w:ilvl w:val="0"/>
          <w:numId w:val="1"/>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la descrizione delle probabili conseguenze della violazione dei dati personali;</w:t>
      </w:r>
    </w:p>
    <w:p w:rsidR="00EC121D" w:rsidRPr="00416CD6" w:rsidRDefault="00EC121D" w:rsidP="00EC121D">
      <w:pPr>
        <w:pStyle w:val="Normale1"/>
        <w:numPr>
          <w:ilvl w:val="0"/>
          <w:numId w:val="1"/>
        </w:numP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una descrizione delle misure adottate o che si intende adottare per affrontare la Violazione della sicurezza, compreso, ove opportuno, misure per mitigare i suoi possibili effetti negativi.</w:t>
      </w:r>
    </w:p>
    <w:p w:rsidR="00EC121D" w:rsidRPr="00416CD6" w:rsidRDefault="00EC121D" w:rsidP="00EC121D">
      <w:pPr>
        <w:pStyle w:val="Normale1"/>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11.2 Il Fornitore deve fornire tutto il supporto necessario all’Ente ai fini delle indagini e sulle valutazioni in ordine alla violazione  di dati, anche al fine di individuare, prevenire e limitare gli effetti negativi della stessa, conformemente ai suoi obblighi ai sensi del presente articolo e, previo accordo con l’Ente, per svolgere qualsiasi azione che si renda necessaria per porre rimedio alla violazione stessa. Il Fornitore non deve rilasciare, né pubblicare alcun comunicato stampa o relazione riguardante eventuali data </w:t>
      </w:r>
      <w:proofErr w:type="spellStart"/>
      <w:r w:rsidRPr="00416CD6">
        <w:rPr>
          <w:rFonts w:ascii="Times New Roman" w:eastAsia="Ubuntu" w:hAnsi="Times New Roman" w:cs="Times New Roman"/>
          <w:sz w:val="20"/>
          <w:szCs w:val="20"/>
        </w:rPr>
        <w:t>breach</w:t>
      </w:r>
      <w:proofErr w:type="spellEnd"/>
      <w:r w:rsidRPr="00416CD6">
        <w:rPr>
          <w:rFonts w:ascii="Times New Roman" w:eastAsia="Ubuntu" w:hAnsi="Times New Roman" w:cs="Times New Roman"/>
          <w:sz w:val="20"/>
          <w:szCs w:val="20"/>
        </w:rPr>
        <w:t xml:space="preserve"> o violazioni di trattamento senza aver ottenuto il previo consenso scritto dell’Ente. </w:t>
      </w:r>
    </w:p>
    <w:p w:rsidR="00EC121D" w:rsidRPr="00416CD6" w:rsidRDefault="00EC121D" w:rsidP="00EC121D">
      <w:pPr>
        <w:pStyle w:val="Normale1"/>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rPr>
        <w:t xml:space="preserve">12.  Responsabilità e manleve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12.1 Il Fornitore tiene indenne e manleva l’Ente da ogni perdita, costo, sanzione, danno e da ogni responsabilità di qualsiasi natura derivante o in connessione con una qualsiasi violazione da parte del Fornitore delle disposizioni contenute nel presente Accordo.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12.2 A fronte della ricezione di un reclamo relativo alle attività oggetto del presente Accordo, il Fornitore:  </w:t>
      </w:r>
    </w:p>
    <w:p w:rsidR="00EC121D" w:rsidRPr="00416CD6" w:rsidRDefault="00EC121D" w:rsidP="00EC121D">
      <w:pPr>
        <w:pStyle w:val="Normale1"/>
        <w:numPr>
          <w:ilvl w:val="0"/>
          <w:numId w:val="5"/>
        </w:numPr>
        <w:pBdr>
          <w:top w:val="nil"/>
          <w:left w:val="nil"/>
          <w:bottom w:val="nil"/>
          <w:right w:val="nil"/>
          <w:between w:val="nil"/>
        </w:pBd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avverte, prontamente ed in forma scritta, l’Ente del Reclamo; </w:t>
      </w:r>
    </w:p>
    <w:p w:rsidR="00EC121D" w:rsidRPr="00416CD6" w:rsidRDefault="00EC121D" w:rsidP="00EC121D">
      <w:pPr>
        <w:pStyle w:val="Normale1"/>
        <w:numPr>
          <w:ilvl w:val="0"/>
          <w:numId w:val="5"/>
        </w:numPr>
        <w:pBdr>
          <w:top w:val="nil"/>
          <w:left w:val="nil"/>
          <w:bottom w:val="nil"/>
          <w:right w:val="nil"/>
          <w:between w:val="nil"/>
        </w:pBd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non fornisce dettagli al reclamante senza la preventiva interazione con l’Ente;</w:t>
      </w:r>
    </w:p>
    <w:p w:rsidR="00EC121D" w:rsidRPr="00416CD6" w:rsidRDefault="00EC121D" w:rsidP="00EC121D">
      <w:pPr>
        <w:pStyle w:val="Normale1"/>
        <w:numPr>
          <w:ilvl w:val="0"/>
          <w:numId w:val="5"/>
        </w:numPr>
        <w:pBdr>
          <w:top w:val="nil"/>
          <w:left w:val="nil"/>
          <w:bottom w:val="nil"/>
          <w:right w:val="nil"/>
          <w:between w:val="nil"/>
        </w:pBd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non transige la controversia senza il previo consenso scritto dell’Ente; </w:t>
      </w:r>
    </w:p>
    <w:p w:rsidR="00EC121D" w:rsidRPr="00416CD6" w:rsidRDefault="00EC121D" w:rsidP="00EC121D">
      <w:pPr>
        <w:pStyle w:val="Normale1"/>
        <w:numPr>
          <w:ilvl w:val="0"/>
          <w:numId w:val="5"/>
        </w:numPr>
        <w:pBdr>
          <w:top w:val="nil"/>
          <w:left w:val="nil"/>
          <w:bottom w:val="nil"/>
          <w:right w:val="nil"/>
          <w:between w:val="nil"/>
        </w:pBdr>
        <w:contextualSpacing/>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fornisce all’Ente tutta l'assistenza che potrebbe ragionevolmente richiedere nella gestione del reclamo. </w:t>
      </w:r>
    </w:p>
    <w:p w:rsidR="00EC121D" w:rsidRPr="00416CD6" w:rsidRDefault="00EC121D" w:rsidP="00EC121D">
      <w:pPr>
        <w:pStyle w:val="Normale1"/>
        <w:rPr>
          <w:rFonts w:ascii="Times New Roman" w:eastAsia="Bookman Old Style" w:hAnsi="Times New Roman" w:cs="Times New Roman"/>
          <w:sz w:val="20"/>
          <w:szCs w:val="20"/>
        </w:rPr>
      </w:pPr>
      <w:r w:rsidRPr="00416CD6">
        <w:rPr>
          <w:rFonts w:ascii="Times New Roman" w:eastAsia="Bookman Old Style" w:hAnsi="Times New Roman" w:cs="Times New Roman"/>
          <w:sz w:val="20"/>
          <w:szCs w:val="20"/>
        </w:rPr>
        <w:t xml:space="preserve"> </w:t>
      </w:r>
    </w:p>
    <w:p w:rsidR="00EC121D" w:rsidRPr="00416CD6" w:rsidRDefault="00EC121D" w:rsidP="00EC121D">
      <w:pPr>
        <w:pStyle w:val="Normale1"/>
        <w:ind w:hanging="10"/>
        <w:jc w:val="center"/>
        <w:rPr>
          <w:rFonts w:ascii="Times New Roman" w:eastAsia="Ubuntu" w:hAnsi="Times New Roman" w:cs="Times New Roman"/>
          <w:color w:val="000000"/>
          <w:sz w:val="20"/>
          <w:szCs w:val="20"/>
        </w:rPr>
      </w:pPr>
    </w:p>
    <w:p w:rsidR="00EC121D" w:rsidRPr="00416CD6" w:rsidRDefault="00EC121D" w:rsidP="00EC121D">
      <w:pPr>
        <w:pStyle w:val="Normale1"/>
        <w:pBdr>
          <w:top w:val="nil"/>
          <w:left w:val="nil"/>
          <w:bottom w:val="nil"/>
          <w:right w:val="nil"/>
          <w:between w:val="nil"/>
        </w:pBdr>
        <w:ind w:hanging="11"/>
        <w:rPr>
          <w:rFonts w:ascii="Times New Roman" w:eastAsia="Ubuntu" w:hAnsi="Times New Roman" w:cs="Times New Roman"/>
          <w:b/>
          <w:color w:val="000000"/>
          <w:sz w:val="20"/>
          <w:szCs w:val="20"/>
          <w:u w:val="single"/>
        </w:rPr>
      </w:pPr>
      <w:r w:rsidRPr="00416CD6">
        <w:rPr>
          <w:rFonts w:ascii="Times New Roman" w:eastAsia="Ubuntu" w:hAnsi="Times New Roman" w:cs="Times New Roman"/>
          <w:b/>
          <w:color w:val="000000"/>
          <w:sz w:val="20"/>
          <w:szCs w:val="20"/>
          <w:u w:val="single"/>
        </w:rPr>
        <w:t>GLOSSARIO</w:t>
      </w:r>
    </w:p>
    <w:p w:rsidR="00EC121D" w:rsidRPr="00416CD6" w:rsidRDefault="00EC121D" w:rsidP="00EC121D">
      <w:pPr>
        <w:pStyle w:val="Normale1"/>
        <w:pBdr>
          <w:top w:val="nil"/>
          <w:left w:val="nil"/>
          <w:bottom w:val="nil"/>
          <w:right w:val="nil"/>
          <w:between w:val="nil"/>
        </w:pBdr>
        <w:ind w:hanging="11"/>
        <w:jc w:val="center"/>
        <w:rPr>
          <w:rFonts w:ascii="Times New Roman" w:eastAsia="Ubuntu" w:hAnsi="Times New Roman" w:cs="Times New Roman"/>
          <w:color w:val="000000"/>
          <w:sz w:val="20"/>
          <w:szCs w:val="20"/>
        </w:rPr>
      </w:pP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Garante per la protezione dei dati personali”:</w:t>
      </w:r>
      <w:r w:rsidRPr="00416CD6">
        <w:rPr>
          <w:rFonts w:ascii="Times New Roman" w:eastAsia="Ubuntu" w:hAnsi="Times New Roman" w:cs="Times New Roman"/>
          <w:color w:val="000000"/>
          <w:sz w:val="20"/>
          <w:szCs w:val="20"/>
        </w:rPr>
        <w:t xml:space="preserve"> è l’autorità di controllo responsabile per la protezione dei dati personali in Italia;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 xml:space="preserve">Dati personali ”: </w:t>
      </w:r>
      <w:r w:rsidRPr="00416CD6">
        <w:rPr>
          <w:rFonts w:ascii="Times New Roman" w:eastAsia="Ubuntu" w:hAnsi="Times New Roman" w:cs="Times New Roman"/>
          <w:color w:val="000000"/>
          <w:sz w:val="20"/>
          <w:szCs w:val="20"/>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 xml:space="preserve">GDPR” o “Regolamento”: </w:t>
      </w:r>
      <w:r w:rsidRPr="00416CD6">
        <w:rPr>
          <w:rFonts w:ascii="Times New Roman" w:eastAsia="Ubuntu" w:hAnsi="Times New Roman" w:cs="Times New Roman"/>
          <w:color w:val="000000"/>
          <w:sz w:val="20"/>
          <w:szCs w:val="20"/>
        </w:rPr>
        <w:t xml:space="preserve">si intende il Regolamento UE 2016/679 sulla protezione delle persone fisiche relativamente al trattamento dei dati personali e della loro libera circolazione (General Data </w:t>
      </w:r>
      <w:proofErr w:type="spellStart"/>
      <w:r w:rsidRPr="00416CD6">
        <w:rPr>
          <w:rFonts w:ascii="Times New Roman" w:eastAsia="Ubuntu" w:hAnsi="Times New Roman" w:cs="Times New Roman"/>
          <w:color w:val="000000"/>
          <w:sz w:val="20"/>
          <w:szCs w:val="20"/>
        </w:rPr>
        <w:t>Protection</w:t>
      </w:r>
      <w:proofErr w:type="spellEnd"/>
      <w:r w:rsidRPr="00416CD6">
        <w:rPr>
          <w:rFonts w:ascii="Times New Roman" w:eastAsia="Ubuntu" w:hAnsi="Times New Roman" w:cs="Times New Roman"/>
          <w:color w:val="000000"/>
          <w:sz w:val="20"/>
          <w:szCs w:val="20"/>
        </w:rPr>
        <w:t xml:space="preserve"> </w:t>
      </w:r>
      <w:proofErr w:type="spellStart"/>
      <w:r w:rsidRPr="00416CD6">
        <w:rPr>
          <w:rFonts w:ascii="Times New Roman" w:eastAsia="Ubuntu" w:hAnsi="Times New Roman" w:cs="Times New Roman"/>
          <w:color w:val="000000"/>
          <w:sz w:val="20"/>
          <w:szCs w:val="20"/>
        </w:rPr>
        <w:t>Regulation</w:t>
      </w:r>
      <w:proofErr w:type="spellEnd"/>
      <w:r w:rsidRPr="00416CD6">
        <w:rPr>
          <w:rFonts w:ascii="Times New Roman" w:eastAsia="Ubuntu" w:hAnsi="Times New Roman" w:cs="Times New Roman"/>
          <w:color w:val="000000"/>
          <w:sz w:val="20"/>
          <w:szCs w:val="20"/>
        </w:rPr>
        <w:t xml:space="preserve">) che sarà direttamente applicabile dal 25 maggio 2018;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lastRenderedPageBreak/>
        <w:t>“</w:t>
      </w:r>
      <w:r w:rsidRPr="00416CD6">
        <w:rPr>
          <w:rFonts w:ascii="Times New Roman" w:eastAsia="Ubuntu" w:hAnsi="Times New Roman" w:cs="Times New Roman"/>
          <w:b/>
          <w:color w:val="000000"/>
          <w:sz w:val="20"/>
          <w:szCs w:val="20"/>
        </w:rPr>
        <w:t xml:space="preserve">Normativa Applicabile”: </w:t>
      </w:r>
      <w:r w:rsidRPr="00416CD6">
        <w:rPr>
          <w:rFonts w:ascii="Times New Roman" w:eastAsia="Ubuntu" w:hAnsi="Times New Roman" w:cs="Times New Roman"/>
          <w:color w:val="000000"/>
          <w:sz w:val="20"/>
          <w:szCs w:val="20"/>
        </w:rPr>
        <w:t xml:space="preserve">si intende l’insieme delle norme rilevanti in materia protezione dei dati personali , incluso il Regolamento Privacy UE 2016/679 (GDPR) ed ogni provvedimento del Garante per la protezione dei dati personali e del WP Art. 29.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 xml:space="preserve">Appendice Security”: </w:t>
      </w:r>
      <w:r w:rsidRPr="00416CD6">
        <w:rPr>
          <w:rFonts w:ascii="Times New Roman" w:eastAsia="Ubuntu" w:hAnsi="Times New Roman" w:cs="Times New Roman"/>
          <w:color w:val="000000"/>
          <w:sz w:val="20"/>
          <w:szCs w:val="20"/>
        </w:rPr>
        <w:t xml:space="preserve">consiste nelle misure di sicurezza che il Titolare determina assicurando un livello minimo di sicurezza, e che possono essere aggiornate ed implementate dal Titolare, di volta in volta, in conformità alle previsioni del presente Accordo;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 xml:space="preserve">Reclamo”: </w:t>
      </w:r>
      <w:r w:rsidRPr="00416CD6">
        <w:rPr>
          <w:rFonts w:ascii="Times New Roman" w:eastAsia="Ubuntu" w:hAnsi="Times New Roman" w:cs="Times New Roman"/>
          <w:color w:val="000000"/>
          <w:sz w:val="20"/>
          <w:szCs w:val="20"/>
        </w:rPr>
        <w:t xml:space="preserve">si intende ogni azione, reclamo, segnalazione presentata nei confronti del Titolare o di un Suo Responsabile del trattamento;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 xml:space="preserve">Titolare del Trattamento”: </w:t>
      </w:r>
      <w:r w:rsidRPr="00416CD6">
        <w:rPr>
          <w:rFonts w:ascii="Times New Roman" w:eastAsia="Ubuntu" w:hAnsi="Times New Roman" w:cs="Times New Roman"/>
          <w:color w:val="000000"/>
          <w:sz w:val="20"/>
          <w:szCs w:val="20"/>
        </w:rPr>
        <w:t xml:space="preserve">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Trattamento”:</w:t>
      </w:r>
      <w:r w:rsidRPr="00416CD6">
        <w:rPr>
          <w:rFonts w:ascii="Times New Roman" w:eastAsia="Ubuntu" w:hAnsi="Times New Roman" w:cs="Times New Roman"/>
          <w:color w:val="000000"/>
          <w:sz w:val="20"/>
          <w:szCs w:val="20"/>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color w:val="000000"/>
          <w:sz w:val="20"/>
          <w:szCs w:val="20"/>
        </w:rPr>
      </w:pPr>
      <w:r w:rsidRPr="00416CD6">
        <w:rPr>
          <w:rFonts w:ascii="Times New Roman" w:eastAsia="Ubuntu" w:hAnsi="Times New Roman" w:cs="Times New Roman"/>
          <w:color w:val="000000"/>
          <w:sz w:val="20"/>
          <w:szCs w:val="20"/>
        </w:rPr>
        <w:t>“</w:t>
      </w:r>
      <w:r w:rsidRPr="00416CD6">
        <w:rPr>
          <w:rFonts w:ascii="Times New Roman" w:eastAsia="Ubuntu" w:hAnsi="Times New Roman" w:cs="Times New Roman"/>
          <w:b/>
          <w:color w:val="000000"/>
          <w:sz w:val="20"/>
          <w:szCs w:val="20"/>
        </w:rPr>
        <w:t>Responsabile del trattamento”</w:t>
      </w:r>
      <w:r w:rsidRPr="00416CD6">
        <w:rPr>
          <w:rFonts w:ascii="Times New Roman" w:eastAsia="Ubuntu" w:hAnsi="Times New Roman" w:cs="Times New Roman"/>
          <w:color w:val="000000"/>
          <w:sz w:val="20"/>
          <w:szCs w:val="20"/>
        </w:rPr>
        <w:t>: la persona fisica o giuridica, l'autorità pubblica, il servizio o altro organismo che tratta dati personali per conto del titolare del trattamento</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color w:val="000000"/>
          <w:sz w:val="20"/>
          <w:szCs w:val="20"/>
        </w:rPr>
        <w:t>“</w:t>
      </w:r>
      <w:proofErr w:type="spellStart"/>
      <w:r w:rsidRPr="00416CD6">
        <w:rPr>
          <w:rFonts w:ascii="Times New Roman" w:eastAsia="Ubuntu" w:hAnsi="Times New Roman" w:cs="Times New Roman"/>
          <w:b/>
          <w:color w:val="000000"/>
          <w:sz w:val="20"/>
          <w:szCs w:val="20"/>
        </w:rPr>
        <w:t>Pseudonimizzazione</w:t>
      </w:r>
      <w:proofErr w:type="spellEnd"/>
      <w:r w:rsidRPr="00416CD6">
        <w:rPr>
          <w:rFonts w:ascii="Times New Roman" w:eastAsia="Ubuntu" w:hAnsi="Times New Roman" w:cs="Times New Roman"/>
          <w:b/>
          <w:color w:val="000000"/>
          <w:sz w:val="20"/>
          <w:szCs w:val="20"/>
        </w:rPr>
        <w:t>”</w:t>
      </w:r>
      <w:r w:rsidRPr="00416CD6">
        <w:rPr>
          <w:rFonts w:ascii="Times New Roman" w:eastAsia="Ubuntu" w:hAnsi="Times New Roman" w:cs="Times New Roman"/>
          <w:color w:val="000000"/>
          <w:sz w:val="20"/>
          <w:szCs w:val="20"/>
        </w:rPr>
        <w:t>: 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r w:rsidRPr="00416CD6">
        <w:rPr>
          <w:rFonts w:ascii="Times New Roman" w:eastAsia="Ubuntu" w:hAnsi="Times New Roman" w:cs="Times New Roman"/>
          <w:sz w:val="20"/>
          <w:szCs w:val="20"/>
        </w:rPr>
        <w:t>.</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p>
    <w:p w:rsidR="00EC121D" w:rsidRPr="00416CD6" w:rsidRDefault="00EC121D" w:rsidP="00EC121D">
      <w:pPr>
        <w:pStyle w:val="Normale1"/>
        <w:pBdr>
          <w:top w:val="nil"/>
          <w:left w:val="nil"/>
          <w:bottom w:val="double" w:sz="6" w:space="1" w:color="auto"/>
          <w:right w:val="nil"/>
          <w:between w:val="nil"/>
        </w:pBdr>
        <w:jc w:val="both"/>
        <w:rPr>
          <w:rFonts w:ascii="Times New Roman" w:eastAsia="Ubuntu" w:hAnsi="Times New Roman" w:cs="Times New Roman"/>
          <w:sz w:val="20"/>
          <w:szCs w:val="20"/>
        </w:rPr>
      </w:pPr>
    </w:p>
    <w:p w:rsidR="00EC121D" w:rsidRPr="00416CD6" w:rsidRDefault="00EC121D" w:rsidP="00EC121D">
      <w:pPr>
        <w:pStyle w:val="Normale1"/>
        <w:pBdr>
          <w:left w:val="nil"/>
          <w:bottom w:val="nil"/>
          <w:right w:val="nil"/>
          <w:between w:val="nil"/>
        </w:pBdr>
        <w:jc w:val="both"/>
        <w:rPr>
          <w:rFonts w:ascii="Times New Roman" w:eastAsia="Ubuntu" w:hAnsi="Times New Roman" w:cs="Times New Roman"/>
          <w:sz w:val="20"/>
          <w:szCs w:val="20"/>
        </w:rPr>
      </w:pPr>
    </w:p>
    <w:p w:rsidR="00EC121D" w:rsidRPr="00416CD6" w:rsidRDefault="00EC121D" w:rsidP="00EC121D">
      <w:pPr>
        <w:pStyle w:val="Normale1"/>
        <w:ind w:hanging="11"/>
        <w:jc w:val="both"/>
        <w:rPr>
          <w:rFonts w:ascii="Times New Roman" w:eastAsia="Ubuntu" w:hAnsi="Times New Roman" w:cs="Times New Roman"/>
          <w:b/>
          <w:sz w:val="20"/>
          <w:szCs w:val="20"/>
          <w:u w:val="single"/>
        </w:rPr>
      </w:pPr>
    </w:p>
    <w:p w:rsidR="00EC121D" w:rsidRPr="00416CD6" w:rsidRDefault="00EC121D" w:rsidP="00EC121D">
      <w:pPr>
        <w:pStyle w:val="Normale1"/>
        <w:ind w:hanging="11"/>
        <w:jc w:val="both"/>
        <w:rPr>
          <w:rFonts w:ascii="Times New Roman" w:eastAsia="Ubuntu" w:hAnsi="Times New Roman" w:cs="Times New Roman"/>
          <w:b/>
          <w:sz w:val="20"/>
          <w:szCs w:val="20"/>
        </w:rPr>
      </w:pPr>
      <w:r w:rsidRPr="00416CD6">
        <w:rPr>
          <w:rFonts w:ascii="Times New Roman" w:eastAsia="Ubuntu" w:hAnsi="Times New Roman" w:cs="Times New Roman"/>
          <w:b/>
          <w:sz w:val="20"/>
          <w:szCs w:val="20"/>
          <w:u w:val="single"/>
        </w:rPr>
        <w:t xml:space="preserve">Appendice “Security” </w:t>
      </w:r>
    </w:p>
    <w:p w:rsidR="00EC121D" w:rsidRPr="00416CD6" w:rsidRDefault="00EC121D" w:rsidP="00EC121D">
      <w:pPr>
        <w:pStyle w:val="Normale1"/>
        <w:pBdr>
          <w:top w:val="nil"/>
          <w:left w:val="nil"/>
          <w:bottom w:val="nil"/>
          <w:right w:val="nil"/>
          <w:between w:val="nil"/>
        </w:pBdr>
        <w:jc w:val="both"/>
        <w:rPr>
          <w:rFonts w:ascii="Times New Roman" w:eastAsia="Ubuntu" w:hAnsi="Times New Roman" w:cs="Times New Roman"/>
          <w:sz w:val="20"/>
          <w:szCs w:val="20"/>
        </w:rPr>
      </w:pPr>
      <w:r w:rsidRPr="00416CD6">
        <w:rPr>
          <w:rFonts w:ascii="Times New Roman" w:eastAsia="Ubuntu" w:hAnsi="Times New Roman" w:cs="Times New Roman"/>
          <w:sz w:val="20"/>
          <w:szCs w:val="20"/>
        </w:rPr>
        <w:t xml:space="preserve">L’Ente deve adottare le misure minime per la  sicurezza  ICT stabilite da AGID con la circolare del 18 aprile 2017, n. 2/2017  pubblicata sulla Gazzetta Ufficiale, al fine di  contrastare le  minacce  più  comuni  e frequenti cui sono soggetti i sistemi informativi. </w:t>
      </w:r>
    </w:p>
    <w:p w:rsidR="00EC121D" w:rsidRPr="00416CD6" w:rsidRDefault="00EC121D" w:rsidP="00EC121D">
      <w:pPr>
        <w:pStyle w:val="Normale1"/>
        <w:pBdr>
          <w:top w:val="nil"/>
          <w:left w:val="nil"/>
          <w:bottom w:val="nil"/>
          <w:right w:val="nil"/>
          <w:between w:val="nil"/>
        </w:pBdr>
        <w:rPr>
          <w:rFonts w:ascii="Times New Roman" w:eastAsia="Ubuntu" w:hAnsi="Times New Roman" w:cs="Times New Roman"/>
          <w:sz w:val="20"/>
          <w:szCs w:val="20"/>
        </w:rPr>
      </w:pPr>
    </w:p>
    <w:p w:rsidR="00EC121D" w:rsidRPr="00416CD6" w:rsidRDefault="00EC121D" w:rsidP="00EC121D">
      <w:pPr>
        <w:pStyle w:val="Normale1"/>
        <w:pBdr>
          <w:top w:val="nil"/>
          <w:left w:val="nil"/>
          <w:bottom w:val="nil"/>
          <w:right w:val="nil"/>
          <w:between w:val="nil"/>
        </w:pBdr>
        <w:rPr>
          <w:rFonts w:ascii="Times New Roman" w:eastAsia="Ubuntu" w:hAnsi="Times New Roman" w:cs="Times New Roman"/>
          <w:sz w:val="20"/>
          <w:szCs w:val="20"/>
        </w:rPr>
      </w:pPr>
      <w:r w:rsidRPr="00416CD6">
        <w:rPr>
          <w:rFonts w:ascii="Times New Roman" w:eastAsia="Ubuntu" w:hAnsi="Times New Roman" w:cs="Times New Roman"/>
          <w:sz w:val="20"/>
          <w:szCs w:val="20"/>
        </w:rPr>
        <w:t>Tali misure sono descritte all’indirizzo: https://www.agid.gov.it/it/sicurezza/misure-minime-sicurezza-ict</w:t>
      </w:r>
    </w:p>
    <w:p w:rsidR="003D42E2" w:rsidRDefault="003D42E2"/>
    <w:sectPr w:rsidR="003D42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Ubuntu">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095"/>
    <w:multiLevelType w:val="multilevel"/>
    <w:tmpl w:val="429A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C75E4D"/>
    <w:multiLevelType w:val="multilevel"/>
    <w:tmpl w:val="FA482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741245"/>
    <w:multiLevelType w:val="multilevel"/>
    <w:tmpl w:val="3D0C54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B2F6BE3"/>
    <w:multiLevelType w:val="multilevel"/>
    <w:tmpl w:val="752ED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6302DDF"/>
    <w:multiLevelType w:val="multilevel"/>
    <w:tmpl w:val="228A8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2A92EB7"/>
    <w:multiLevelType w:val="multilevel"/>
    <w:tmpl w:val="B76C2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8DD2634"/>
    <w:multiLevelType w:val="multilevel"/>
    <w:tmpl w:val="C13E0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1D"/>
    <w:rsid w:val="003D42E2"/>
    <w:rsid w:val="00B837DB"/>
    <w:rsid w:val="00BA71BF"/>
    <w:rsid w:val="00E878FB"/>
    <w:rsid w:val="00EC1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C121D"/>
    <w:pPr>
      <w:spacing w:after="0" w:line="240" w:lineRule="auto"/>
    </w:pPr>
    <w:rPr>
      <w:rFonts w:ascii="Liberation Serif" w:eastAsia="Liberation Serif" w:hAnsi="Liberation Serif" w:cs="Liberation Serif"/>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C121D"/>
    <w:pPr>
      <w:spacing w:after="0" w:line="240" w:lineRule="auto"/>
    </w:pPr>
    <w:rPr>
      <w:rFonts w:ascii="Liberation Serif" w:eastAsia="Liberation Serif" w:hAnsi="Liberation Serif" w:cs="Liberation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2679</Words>
  <Characters>15275</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 Di cerbo</dc:creator>
  <cp:lastModifiedBy>ACER</cp:lastModifiedBy>
  <cp:revision>2</cp:revision>
  <dcterms:created xsi:type="dcterms:W3CDTF">2022-08-27T11:38:00Z</dcterms:created>
  <dcterms:modified xsi:type="dcterms:W3CDTF">2022-08-27T11:38:00Z</dcterms:modified>
</cp:coreProperties>
</file>