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276" w:lineRule="auto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/>
        <w:drawing>
          <wp:inline distB="0" distT="0" distL="0" distR="0">
            <wp:extent cx="5991225" cy="4381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438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5760" w:firstLine="720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5760" w:firstLine="720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521" w:firstLine="0"/>
        <w:rPr>
          <w:b w:val="1"/>
          <w:smallCaps w:val="0"/>
        </w:rPr>
      </w:pPr>
      <w:r w:rsidDel="00000000" w:rsidR="00000000" w:rsidRPr="00000000">
        <w:rPr>
          <w:b w:val="1"/>
          <w:smallCaps w:val="0"/>
          <w:rtl w:val="0"/>
        </w:rPr>
        <w:t xml:space="preserve">SCUOLA SECONDARIA DI PRIMO GRADO DANTE ARFELLI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mallCaps w:val="0"/>
        </w:rPr>
      </w:pPr>
      <w:r w:rsidDel="00000000" w:rsidR="00000000" w:rsidRPr="00000000">
        <w:rPr>
          <w:b w:val="1"/>
          <w:smallCaps w:val="0"/>
          <w:rtl w:val="0"/>
        </w:rPr>
        <w:t xml:space="preserve">DICHIARAZIONE SITUAZIONE OCCUPAZIONALE - (ai sensi dell’art. 47 della legge 108/2021 e s.m.i.)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La/Il sottoscritta/o __________________________________, nata/o a ______________________________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il _____________ C.F. _____________________ residente a _______________________ Prov. __________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Via ________________________________________ n. _______ CAP ___________________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nella sua qualità di 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□ rappresentante legale 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□ titolare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della ditta _______________________________________ con sede legale a _________________________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Prov _________ in Via ________________________________________ n. _________ CAP _____________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P. IVA _______________________ e Cod. Fiscale __________________________ tel. __________________ 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e-mail PEO _______________________________ email PEC ______________________________________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b w:val="1"/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Nell’ambito della procedura di affidamento per il progetto PNRR 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Missione 4: Istruzione e Ricerca - Componente 1 Potenziamento dell’offerta dei servizi di istruzione: dagli asili nido alle Università - Investimento 3.1: Nuove competenze e nuovi linguaggi - Azione di potenziamento delle competenze STEM e multilinguistiche – D.M. 65 del 12 aprile 2023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- </w:t>
      </w:r>
      <w:r w:rsidDel="00000000" w:rsidR="00000000" w:rsidRPr="00000000">
        <w:rPr>
          <w:sz w:val="24"/>
          <w:szCs w:val="24"/>
          <w:rtl w:val="0"/>
        </w:rPr>
        <w:t xml:space="preserve">Codice progetto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M4C1I3.1-2023-1143</w:t>
      </w:r>
      <w:r w:rsidDel="00000000" w:rsidR="00000000" w:rsidRPr="00000000">
        <w:rPr>
          <w:sz w:val="24"/>
          <w:szCs w:val="24"/>
          <w:rtl w:val="0"/>
        </w:rPr>
        <w:t xml:space="preserve"> - Titolo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“Insieme verso il Futuro: STEM e multilinguismo”</w:t>
      </w:r>
      <w:r w:rsidDel="00000000" w:rsidR="00000000" w:rsidRPr="00000000">
        <w:rPr>
          <w:b w:val="1"/>
          <w:sz w:val="24"/>
          <w:szCs w:val="24"/>
          <w:rtl w:val="0"/>
        </w:rPr>
        <w:t xml:space="preserve"> - </w:t>
      </w:r>
      <w:r w:rsidDel="00000000" w:rsidR="00000000" w:rsidRPr="00000000">
        <w:rPr>
          <w:sz w:val="24"/>
          <w:szCs w:val="24"/>
          <w:rtl w:val="0"/>
        </w:rPr>
        <w:t xml:space="preserve">CUP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J24D23002300006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mallCaps w:val="0"/>
        </w:rPr>
      </w:pPr>
      <w:r w:rsidDel="00000000" w:rsidR="00000000" w:rsidRPr="00000000">
        <w:rPr>
          <w:b w:val="1"/>
          <w:smallCaps w:val="0"/>
          <w:rtl w:val="0"/>
        </w:rPr>
        <w:t xml:space="preserve">IN CONFORMITA’ ALLE DISPOSIZIONI CONTENUTE NEL D.P.R. 445/2000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sotto la propria responsabilità ed in piena conoscenza della responsabilità penale prevista per le dichiarazioni false dall’art.76 del D.P.R. n. 445/2000 e dalle disposizioni del Codice penale e dalle leggi speciali in materia ai sensi degli articoli 46 e 47 del D.P.R. 445/2000, quanto segue: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mallCaps w:val="0"/>
        </w:rPr>
      </w:pPr>
      <w:r w:rsidDel="00000000" w:rsidR="00000000" w:rsidRPr="00000000">
        <w:rPr>
          <w:b w:val="1"/>
          <w:smallCaps w:val="0"/>
          <w:rtl w:val="0"/>
        </w:rPr>
        <w:t xml:space="preserve">DICHIARA IN RELAZIONE AGLI OBBLIGHI previsti dalla normativa vigente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che l’impresa ha: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□ </w:t>
      </w: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meno di 15 dipendenti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e, quindi, di </w:t>
      </w: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non essere soggetto alla redazione del rapporto di cui all’articolo 46 della legge 198/2006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□ </w:t>
      </w: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più di 1</w:t>
      </w:r>
      <w:r w:rsidDel="00000000" w:rsidR="00000000" w:rsidRPr="00000000">
        <w:rPr>
          <w:b w:val="1"/>
          <w:sz w:val="24"/>
          <w:szCs w:val="24"/>
          <w:rtl w:val="0"/>
        </w:rPr>
        <w:t xml:space="preserve">5</w:t>
      </w: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 ma meno di 50 dipendenti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e di non essere soggetto alla redazione del rapporto di cui all’articolo 46 della legge 198/2006, ma di impegnarsi a produrre entro 6 mesi dalla stipula del contratto una relazione dettagliata sullo stato occupazionale così come previsto dall’art. 47 della legge 108/2021;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□ </w:t>
      </w: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più di 50 dipendenti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e, pertanto, allega copia dell’ultimo rapporto redatto ai sensi dell’articolo 46 della legge 198/2006 con attestazione della sua conformità a quello trasmesso alle rappresentanze sindacali e ai consiglieri delle pari opportunità.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Avendo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più di 50 dipendenti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dichiara altresì: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0" w:right="0" w:firstLine="0"/>
        <w:jc w:val="both"/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non ha omesso di produrre, nei dodici mesi antecedenti al termine di presentazione dell’offerta, a stazioni appaltanti in occasione di precedenti contratti d’appalto finanziati in tutto o in parte con i fondi del PNRR o del PNC, la relazione di genere sulla situazione del personale maschile e femminile di cui all’art. 47, c.3 del D.L.77/2021;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assicurare, nel caso sia necessario effettuare nuove assunzioni per l’esecuzione dell’Accordo in essere con la controparte o per la realizzazione di attività ad esso connessi o strumentali, almeno la quota pari al trenta percento delle stesse all’occupazione giovanile (persone di età inferiore ai trentasei anni).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Lì, ________</w:t>
        <w:tab/>
        <w:tab/>
        <w:tab/>
        <w:tab/>
        <w:tab/>
        <w:tab/>
        <w:t xml:space="preserve">Firma del titolare o legale rappresentante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320" w:firstLine="720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Rule="auto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u w:val="single"/>
          <w:rtl w:val="0"/>
        </w:rPr>
        <w:t xml:space="preserve">Allegato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23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120" w:before="120" w:line="240" w:lineRule="auto"/>
        <w:ind w:left="360" w:hanging="360"/>
        <w:jc w:val="both"/>
      </w:pPr>
      <w:r w:rsidDel="00000000" w:rsidR="00000000" w:rsidRPr="00000000">
        <w:rPr>
          <w:i w:val="1"/>
          <w:smallCaps w:val="0"/>
          <w:sz w:val="24"/>
          <w:szCs w:val="24"/>
          <w:rtl w:val="0"/>
        </w:rPr>
        <w:t xml:space="preserve">copia firmata del documento di identità del sottoscrittore, in corso di validità (solo se il documento non è sottoscritto digitalmente).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ART. 47 Legge 108/2021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(Pari opportunita' e inclusione lavorativa nei contratti pubblici, nel PNRR e nel PNC)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 (aggiornato all’11/03/2023)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1. Per perseguire le finalita' relative alle pari opportunita', generazionali e di genere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((e per promuovere l'inclusione lavorativa delle persone disabili))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, in relazione alle procedure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((afferenti agli))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 investimenti pubblici finanziati, in tutto o in parte, con le risorse previste dal </w:t>
      </w:r>
      <w:hyperlink r:id="rId9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66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Regolamento (UE) 2021/240 del Parlamento europeo e del Consiglio del 10 febbraio 2021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 e dal </w:t>
      </w:r>
      <w:hyperlink r:id="rId10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66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Regolamento (UE) 2021/241 del Parlamento europeo e del Consiglio del 12 febbraio 2021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, nonche' dal PNC, si applicano le disposizioni seguenti.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 2. Gli operatori economici tenuti alla redazione del rapporto sulla situazione del personale, ai sensi dell'</w:t>
      </w:r>
      <w:hyperlink r:id="rId11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66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articolo 46 del decreto legislativo 11 aprile 2006, n. 198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, producono, a pena di esclusione, al momento della presentazione della domanda di partecipazione o dell'offerta, copia dell'ultimo rapporto redatto, con attestazione della sua conformita' a quello trasmesso alle rappresentanze sindacali aziendali e alla consigliera e al consigliere regionale di parita' ai sensi del secondo comma del citato articolo 46, ovvero, in caso di inosservanza dei termini previsti dal comma 1 del medesimo articolo 46, con attestazione della sua contestuale trasmissione alle rappresentanze sindacali aziendali e alla consigliera e al consigliere regionale di parita'.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3. Gli operatori economici, diversi da quelli indicati nel comma 2 e che occupano un numero pari o superiore a quindici dipendenti, entro sei mesi dalla conclusione del contratto, sono tenuti a consegnare alla stazione appaltante una relazione di genere sulla situazione del personale maschile e femminile in ognuna delle professioni ed in relazione allo stato di assunzioni, della formazione, della promozione professionale, dei livelli, dei passaggi di categoria o di qualifica, di altri fenomeni di mobilita', dell'intervento della Cassa integrazione guadagni, dei licenziamenti, dei  prepensionamenti  e  pensionamenti,  della  retribuzione effettivamente corrisposta. La relazione di cui al primo periodo e' tramessa alle rappresentanze sindacali aziendali e alla consigliera e al consigliere regionale di parita'.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((3-bis. Gli operatori economici di cui al comma 3 sono, altresi', tenuti a consegnare, nel termine previsto dal medesimo comma, alla stazione appaltante la certificazione di cui all'</w:t>
      </w:r>
      <w:hyperlink r:id="rId12">
        <w:r w:rsidDel="00000000" w:rsidR="00000000" w:rsidRPr="00000000">
          <w:rPr>
            <w:rFonts w:ascii="Calibri" w:cs="Calibri" w:eastAsia="Calibri" w:hAnsi="Calibri"/>
            <w:b w:val="1"/>
            <w:i w:val="1"/>
            <w:smallCaps w:val="0"/>
            <w:strike w:val="0"/>
            <w:color w:val="0066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articolo 17 della legge 12 marzo 1999, n. 68</w:t>
        </w:r>
      </w:hyperlink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, e una relazione relativa all'assolvimento degli obblighi di cui alla medesima legge e alle eventuali sanzioni e provvedimenti disposti a loro carico nel triennio antecedente la data di scadenza di presentazione delle offerte. La relazione di cui al presente comma e' trasmessa alle rappresentanze sindacali aziendali))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4. Le stazioni appaltanti prevedono, nei bandi di gara, negli avvisi e negli inviti, specifiche clausole dirette all'inserimento, come requisiti necessari e come ulteriori requisiti premiali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((dell'offerta, di criteri))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 orientati a promuovere l'imprenditoria giovanile,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((l'inclusione lavorativa delle persone disabili,))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 la parita' di genere e l'assunzione di giovani, con eta' inferiore a trentasei anni, e donne. Il contenuto delle clausole e' determinato tenendo, tra l'altro, conto dei principi di libera concorrenza, proporzionalita' e non discriminazione, nonche' dell'oggetto del contratto, della tipologia e della natura del singolo progetto in relazione ai  profili  occupazionali  richiesti,  dei  principi dell'Unione europea, degli indicatori degli obiettivi attesi in termini di occupazione femminile e giovanile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((e di tasso di occupazione delle persone disabili))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 al 2026, anche in considerazione dei corrispondenti valori medi nonche' dei corrispondenti indicatori medi settoriali europei in cui vengono svolti i progetti. Fermo restando quanto previsto al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((comma 7))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, e' requisito necessario dell'offerta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((l'aver assolto, al momento  della  presentazione dell'offerta stessa, agli obblighi di cui alla </w:t>
      </w:r>
      <w:hyperlink r:id="rId13">
        <w:r w:rsidDel="00000000" w:rsidR="00000000" w:rsidRPr="00000000">
          <w:rPr>
            <w:rFonts w:ascii="Calibri" w:cs="Calibri" w:eastAsia="Calibri" w:hAnsi="Calibri"/>
            <w:b w:val="1"/>
            <w:i w:val="1"/>
            <w:smallCaps w:val="0"/>
            <w:strike w:val="0"/>
            <w:color w:val="0066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legge 12 marzo 1999, n. 68</w:t>
        </w:r>
      </w:hyperlink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, e))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 l'assunzione dell'obbligo di assicurare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((, in caso di aggiudicazione del contratto,))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 una quota pari almeno al 30 per cento, delle assunzioni necessarie per l'esecuzione del contratto o per la realizzazione di attivita' ad esso connesse o strumentali,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((sia all'occupazione giovanile sia all'occupazione femminile))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 5. Ulteriori misure premiali possono prevedere l'assegnazione di un punteggio aggiuntivo all'offerente o al candidato che: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  a) nei tre anni antecedenti la data di scadenza del termine di presentazione delle offerte, non risulti destinatario di accertamenti relativi ad  atti  o  comportamenti  discriminatori  ai  sensi dell'</w:t>
      </w:r>
      <w:hyperlink r:id="rId14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66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articolo 44 del decreto legislativo 25 luglio 1998, n. 286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, dell'</w:t>
      </w:r>
      <w:hyperlink r:id="rId15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66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articolo 4 del decreto legislativo 9 luglio 2003, n. 215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, dell'</w:t>
      </w:r>
      <w:hyperlink r:id="rId16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66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articolo 4 del decreto legislativo 9 luglio 2003, n. 216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((dell'articolo))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 3 della </w:t>
      </w:r>
      <w:hyperlink r:id="rId17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66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legge 1° marzo 2006, n. 67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((degli articoli))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 35 e 55-quinquies del </w:t>
      </w:r>
      <w:hyperlink r:id="rId18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66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decreto legislativo 11 aprile 2006, n. 198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, ovvero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((dell'articolo))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 54 del </w:t>
      </w:r>
      <w:hyperlink r:id="rId19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66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decreto legislativo 26 marzo 2001, n. 151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  b) utilizzi o si impegni a utilizzare specifici strumenti di conciliazione delle esigenze di cura, di vita e di lavoro per i propri dipendenti, nonche' modalita' innovative di organizzazione del lavoro;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  c) si impegni ad assumere, oltre alla soglia minima percentuale prevista come requisito di partecipazione,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((persone disabili,))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giovani, con eta' inferiore a trentasei anni, e donne per l'esecuzione del contratto o per la realizzazione di attivita' ad esso connesse o strumentali;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  d) abbia, nell'ultimo triennio, rispettato i principi della parita' di genere e adottato specifiche misure per promuovere le pari opportunita' generazionali e di genere, anche tenendo conto del rapporto tra uomini e donne nelle assunzioni, nei livelli retributivi e nel conferimento di incarichi apicali;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((d-bis) abbia, nell'ultimo triennio, rispettato gli obblighi di cui alla </w:t>
      </w:r>
      <w:hyperlink r:id="rId20">
        <w:r w:rsidDel="00000000" w:rsidR="00000000" w:rsidRPr="00000000">
          <w:rPr>
            <w:rFonts w:ascii="Calibri" w:cs="Calibri" w:eastAsia="Calibri" w:hAnsi="Calibri"/>
            <w:b w:val="1"/>
            <w:i w:val="1"/>
            <w:smallCaps w:val="0"/>
            <w:strike w:val="0"/>
            <w:color w:val="0066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legge 12 marzo 1999, n. 68</w:t>
        </w:r>
      </w:hyperlink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;))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  e) abbia presentato o si impegni a presentare per ciascuno degli esercizi finanziari, ricompresi nella durata del contratto  di appalto, una dichiarazione volontaria di carattere non finanziario ai sensi dell'</w:t>
      </w:r>
      <w:hyperlink r:id="rId21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66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articolo 7 del decreto legislativo 30 dicembre 2016, n. 254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 6. I contratti di appalto prevedono l'applicazione di penali per l'inadempimento dell'appaltatore agli obblighi di cui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((al comma 3, al comma 3-bis ovvero al comma 4))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, commisurate alla gravita' della violazione e proporzionali rispetto all'importo del contratto o alle prestazioni del contratto, nel rispetto dell'importo complessivo previsto dall'articolo 51 del presente decreto. La violazione dell'obbligo di cui al comma 3 determina, altresi', l'impossibilita' per l'operatore economico di partecipare, in forma singola ovvero in raggruppamento temporaneo, per un periodo di dodici mesi ad ulteriori procedure di affidamento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((afferenti agli))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 investimenti pubblici finanziati, in tutto o in parte, con le risorse di cui al comma 1.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 7. Le stazioni appaltanti possono escludere l'inserimento nei bandi di gara, negli avvisi e  negli  inviti 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((dei  requisiti  di partecipazione))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 di cui al comma 4, o stabilire una quota inferiore, dandone adeguata e specifica motivazione, qualora l'oggetto del contratto, la tipologia o la natura del progetto o altri elementi puntualmente indicati ne rendano  l'inserimento impossibile o contrastante con obiettivi di universalita' e socialita', di efficienza, di economicita' e di qualita' del servizio nonche' di ottimale impiego delle risorse pubbliche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 8. Con linee guida del Presidente del Consiglio dei Ministri ovvero dei Ministri o delle autorita' delegati per le pari opportunita' e della famiglia e per le politiche giovanili e il servizio civile universale, di concerto con il Ministro delle infrastrutture e della mobilita' sostenibili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((, con il Ministro del lavoro e delle politiche sociali e con il Ministro per le disabilita'))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, da adottarsi entro sessanta giorni dall'entrata in vigore del presente decreto,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((sono definiti))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 le modalita' e i criteri applicativi delle misure previste dal presente articolo, indicate misure premiali e predisposti modelli di clausole da inserire nei bandi di gara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((differenziati))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 per settore, tipologia e natura del contratto o del progetto.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 9. I rapporti e le relazioni previste dai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((commi 2, 3 e 3-bis))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sono pubblicati sul profilo del committente, nella sezione "Amministrazione trasparente", ai sensi dell'</w:t>
      </w:r>
      <w:hyperlink r:id="rId22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66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articolo 29 del decreto legislativo 18 aprile 2016, n. 50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  <w:rtl w:val="0"/>
        </w:rPr>
        <w:t xml:space="preserve">, e comunicati alla Presidenza del consiglio dei ministri ovvero ai Ministri o alle autorita' delegati per le pari opportunita' e della famiglia e per le politiche giovanili e il servizio civile universale. 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19191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851" w:right="85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urier New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Roman"/>
      <w:lvlText w:val="%1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▪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288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04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line="240" w:lineRule="auto"/>
      <w:ind w:left="1612" w:right="1617" w:firstLine="0"/>
      <w:jc w:val="center"/>
    </w:pPr>
    <w:rPr>
      <w:b w:val="1"/>
      <w:smallCaps w:val="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Rule="auto"/>
    </w:pPr>
    <w:rPr>
      <w:b w:val="1"/>
      <w:smallCaps w:val="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Rule="auto"/>
    </w:pPr>
    <w:rPr>
      <w:b w:val="1"/>
      <w:smallCaps w:val="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Rule="auto"/>
    </w:pPr>
    <w:rPr>
      <w:b w:val="1"/>
      <w:smallCaps w:val="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Rule="auto"/>
    </w:pPr>
    <w:rPr>
      <w:b w:val="1"/>
      <w:smallCaps w:val="0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Rule="auto"/>
    </w:pPr>
    <w:rPr>
      <w:b w:val="1"/>
      <w:smallCaps w:val="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Rule="auto"/>
    </w:pPr>
    <w:rPr>
      <w:b w:val="1"/>
      <w:smallCaps w:val="0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Rule="auto"/>
    </w:pPr>
    <w:rPr>
      <w:rFonts w:ascii="Georgia" w:cs="Georgia" w:eastAsia="Georgia" w:hAnsi="Georgia"/>
      <w:i w:val="1"/>
      <w:smallCaps w:val="0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about:blank" TargetMode="External"/><Relationship Id="rId11" Type="http://schemas.openxmlformats.org/officeDocument/2006/relationships/hyperlink" Target="about:blank" TargetMode="External"/><Relationship Id="rId22" Type="http://schemas.openxmlformats.org/officeDocument/2006/relationships/hyperlink" Target="about:blank" TargetMode="External"/><Relationship Id="rId10" Type="http://schemas.openxmlformats.org/officeDocument/2006/relationships/hyperlink" Target="about:blank" TargetMode="External"/><Relationship Id="rId21" Type="http://schemas.openxmlformats.org/officeDocument/2006/relationships/hyperlink" Target="about:blank" TargetMode="External"/><Relationship Id="rId13" Type="http://schemas.openxmlformats.org/officeDocument/2006/relationships/hyperlink" Target="about:blank" TargetMode="External"/><Relationship Id="rId12" Type="http://schemas.openxmlformats.org/officeDocument/2006/relationships/hyperlink" Target="about:blan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about:blank" TargetMode="External"/><Relationship Id="rId15" Type="http://schemas.openxmlformats.org/officeDocument/2006/relationships/hyperlink" Target="about:blank" TargetMode="External"/><Relationship Id="rId14" Type="http://schemas.openxmlformats.org/officeDocument/2006/relationships/hyperlink" Target="about:blank" TargetMode="External"/><Relationship Id="rId17" Type="http://schemas.openxmlformats.org/officeDocument/2006/relationships/hyperlink" Target="about:blank" TargetMode="External"/><Relationship Id="rId16" Type="http://schemas.openxmlformats.org/officeDocument/2006/relationships/hyperlink" Target="about:blank" TargetMode="External"/><Relationship Id="rId5" Type="http://schemas.openxmlformats.org/officeDocument/2006/relationships/styles" Target="styles.xml"/><Relationship Id="rId19" Type="http://schemas.openxmlformats.org/officeDocument/2006/relationships/hyperlink" Target="about:blank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about:blank" TargetMode="External"/><Relationship Id="rId7" Type="http://schemas.openxmlformats.org/officeDocument/2006/relationships/image" Target="media/image1.png"/><Relationship Id="rId8" Type="http://schemas.openxmlformats.org/officeDocument/2006/relationships/hyperlink" Target="https://www.normattiva.it/uri-res/N2Ls?urn:nir:stato:decreto.legge:2021;77~art47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xodiI1rO6iG/y5+qeyreWarhTw==">CgMxLjA4AXIhMW5xSXNnZnB4R0lnMkNMVDh6NVREenlQQ1dHN19aYjlm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