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77C2E" w14:textId="7E946A84" w:rsidR="00C92165" w:rsidRDefault="00C92165"/>
    <w:p w14:paraId="69865121" w14:textId="6F24D6D5" w:rsidR="008C19F6" w:rsidRDefault="00A9416A" w:rsidP="008C19F6">
      <w:pPr>
        <w:spacing w:before="3" w:line="237" w:lineRule="auto"/>
        <w:ind w:left="2971" w:hanging="2768"/>
        <w:rPr>
          <w:b/>
          <w:sz w:val="28"/>
        </w:rPr>
      </w:pPr>
      <w:r w:rsidRPr="00A9416A">
        <w:rPr>
          <w:noProof/>
          <w:sz w:val="20"/>
        </w:rPr>
        <mc:AlternateContent>
          <mc:Choice Requires="wps">
            <w:drawing>
              <wp:inline distT="0" distB="0" distL="0" distR="0" wp14:anchorId="7352A7A1" wp14:editId="1D7084B1">
                <wp:extent cx="6120130" cy="435914"/>
                <wp:effectExtent l="0" t="0" r="13970" b="21590"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435914"/>
                        </a:xfrm>
                        <a:prstGeom prst="rect">
                          <a:avLst/>
                        </a:prstGeom>
                        <a:solidFill>
                          <a:srgbClr val="4E81BD"/>
                        </a:solidFill>
                        <a:ln w="18288">
                          <a:solidFill>
                            <a:srgbClr val="16355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E47863" w14:textId="0AAB0306" w:rsidR="00A9416A" w:rsidRDefault="00A9416A" w:rsidP="00A9416A">
                            <w:pPr>
                              <w:spacing w:before="3" w:line="237" w:lineRule="auto"/>
                              <w:ind w:left="2971" w:hanging="276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95"/>
                                <w:sz w:val="28"/>
                              </w:rPr>
                              <w:t>DIRETTIVA GENERALE</w:t>
                            </w:r>
                            <w:r>
                              <w:rPr>
                                <w:b/>
                                <w:color w:val="FFFFFF"/>
                                <w:spacing w:val="1"/>
                                <w:w w:val="9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w w:val="95"/>
                                <w:sz w:val="28"/>
                              </w:rPr>
                              <w:t>SULL’ATTIVITA’</w:t>
                            </w:r>
                            <w:r>
                              <w:rPr>
                                <w:b/>
                                <w:color w:val="FFFFFF"/>
                                <w:spacing w:val="1"/>
                                <w:w w:val="9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w w:val="95"/>
                                <w:sz w:val="28"/>
                              </w:rPr>
                              <w:t>AMMINISTRATIVA</w:t>
                            </w:r>
                            <w:r>
                              <w:rPr>
                                <w:b/>
                                <w:color w:val="FFFFFF"/>
                                <w:spacing w:val="1"/>
                                <w:w w:val="9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w w:val="95"/>
                                <w:sz w:val="28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FFFFFF"/>
                                <w:spacing w:val="1"/>
                                <w:w w:val="9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w w:val="95"/>
                                <w:sz w:val="28"/>
                              </w:rPr>
                              <w:t>SULLA</w:t>
                            </w:r>
                            <w:r>
                              <w:rPr>
                                <w:b/>
                                <w:color w:val="FFFFFF"/>
                                <w:spacing w:val="1"/>
                                <w:w w:val="9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GESTIONE</w:t>
                            </w:r>
                            <w:r>
                              <w:rPr>
                                <w:b/>
                                <w:color w:val="FFFFFF"/>
                                <w:spacing w:val="-1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PER L’ANNO 202</w:t>
                            </w:r>
                            <w:r w:rsidR="00085F31">
                              <w:rPr>
                                <w:b/>
                                <w:color w:val="FFFFFF"/>
                                <w:sz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352A7A1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width:481.9pt;height:3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" fillcolor="#4e81bd" strokecolor="#16355c" strokeweight="1.44pt">
                <v:textbox inset="0,0,0,0">
                  <w:txbxContent>
                    <w:p w14:paraId="69E47863" w14:textId="0AAB0306" w:rsidR="00A9416A" w:rsidRDefault="00A9416A" w:rsidP="00A9416A">
                      <w:pPr>
                        <w:spacing w:before="3" w:line="237" w:lineRule="auto"/>
                        <w:ind w:left="2971" w:hanging="2768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w w:val="95"/>
                          <w:sz w:val="28"/>
                        </w:rPr>
                        <w:t>DIRETTIVA GENERALE</w:t>
                      </w:r>
                      <w:r>
                        <w:rPr>
                          <w:b/>
                          <w:color w:val="FFFFFF"/>
                          <w:spacing w:val="1"/>
                          <w:w w:val="9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w w:val="95"/>
                          <w:sz w:val="28"/>
                        </w:rPr>
                        <w:t>SULL’ATTIVITA’</w:t>
                      </w:r>
                      <w:r>
                        <w:rPr>
                          <w:b/>
                          <w:color w:val="FFFFFF"/>
                          <w:spacing w:val="1"/>
                          <w:w w:val="9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w w:val="95"/>
                          <w:sz w:val="28"/>
                        </w:rPr>
                        <w:t>AMMINISTRATIVA</w:t>
                      </w:r>
                      <w:r>
                        <w:rPr>
                          <w:b/>
                          <w:color w:val="FFFFFF"/>
                          <w:spacing w:val="1"/>
                          <w:w w:val="9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w w:val="95"/>
                          <w:sz w:val="28"/>
                        </w:rPr>
                        <w:t>E</w:t>
                      </w:r>
                      <w:r>
                        <w:rPr>
                          <w:b/>
                          <w:color w:val="FFFFFF"/>
                          <w:spacing w:val="1"/>
                          <w:w w:val="9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w w:val="95"/>
                          <w:sz w:val="28"/>
                        </w:rPr>
                        <w:t>SULLA</w:t>
                      </w:r>
                      <w:r>
                        <w:rPr>
                          <w:b/>
                          <w:color w:val="FFFFFF"/>
                          <w:spacing w:val="1"/>
                          <w:w w:val="9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8"/>
                        </w:rPr>
                        <w:t>GESTIONE</w:t>
                      </w:r>
                      <w:r>
                        <w:rPr>
                          <w:b/>
                          <w:color w:val="FFFFFF"/>
                          <w:spacing w:val="-1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28"/>
                        </w:rPr>
                        <w:t>PER L’ANNO 202</w:t>
                      </w:r>
                      <w:r w:rsidR="00085F31">
                        <w:rPr>
                          <w:b/>
                          <w:color w:val="FFFFFF"/>
                          <w:sz w:val="28"/>
                        </w:rPr>
                        <w:t>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59B48FA" w14:textId="77777777" w:rsidR="00000191" w:rsidRDefault="00000191" w:rsidP="00000191">
      <w:pPr>
        <w:jc w:val="center"/>
        <w:rPr>
          <w:b/>
          <w:i/>
          <w:color w:val="2F5496" w:themeColor="accent1" w:themeShade="BF"/>
        </w:rPr>
      </w:pPr>
    </w:p>
    <w:p w14:paraId="665B28D5" w14:textId="77777777" w:rsidR="00000191" w:rsidRDefault="00000191" w:rsidP="00000191">
      <w:pPr>
        <w:jc w:val="center"/>
        <w:rPr>
          <w:b/>
          <w:i/>
          <w:color w:val="2F5496" w:themeColor="accent1" w:themeShade="BF"/>
        </w:rPr>
      </w:pPr>
    </w:p>
    <w:p w14:paraId="30EC6F87" w14:textId="492179A9" w:rsidR="00000191" w:rsidRDefault="00000191" w:rsidP="00000191">
      <w:pPr>
        <w:jc w:val="center"/>
        <w:rPr>
          <w:b/>
          <w:i/>
          <w:color w:val="2F5496" w:themeColor="accent1" w:themeShade="BF"/>
        </w:rPr>
      </w:pPr>
      <w:r w:rsidRPr="00000191">
        <w:rPr>
          <w:b/>
          <w:i/>
          <w:color w:val="2F5496" w:themeColor="accent1" w:themeShade="BF"/>
        </w:rPr>
        <w:t>INDIRIZZI</w:t>
      </w:r>
      <w:r>
        <w:rPr>
          <w:color w:val="2F5496" w:themeColor="accent1" w:themeShade="BF"/>
        </w:rPr>
        <w:t xml:space="preserve"> </w:t>
      </w:r>
      <w:r w:rsidRPr="00000191">
        <w:rPr>
          <w:b/>
          <w:i/>
          <w:color w:val="2F5496" w:themeColor="accent1" w:themeShade="BF"/>
        </w:rPr>
        <w:t>GENERALI</w:t>
      </w:r>
      <w:r>
        <w:rPr>
          <w:color w:val="2F5496" w:themeColor="accent1" w:themeShade="BF"/>
        </w:rPr>
        <w:t xml:space="preserve"> </w:t>
      </w:r>
      <w:r w:rsidRPr="00000191">
        <w:rPr>
          <w:b/>
          <w:i/>
          <w:color w:val="2F5496" w:themeColor="accent1" w:themeShade="BF"/>
        </w:rPr>
        <w:t>SULL’ATTIVIT</w:t>
      </w:r>
      <w:r>
        <w:rPr>
          <w:b/>
          <w:i/>
          <w:color w:val="2F5496" w:themeColor="accent1" w:themeShade="BF"/>
        </w:rPr>
        <w:t xml:space="preserve">A’ </w:t>
      </w:r>
      <w:r w:rsidRPr="00000191">
        <w:rPr>
          <w:b/>
          <w:i/>
          <w:color w:val="2F5496" w:themeColor="accent1" w:themeShade="BF"/>
        </w:rPr>
        <w:t>AMMINISTRATIVA</w:t>
      </w:r>
      <w:r>
        <w:rPr>
          <w:color w:val="2F5496" w:themeColor="accent1" w:themeShade="BF"/>
        </w:rPr>
        <w:t xml:space="preserve"> </w:t>
      </w:r>
      <w:r w:rsidRPr="00000191">
        <w:rPr>
          <w:b/>
          <w:i/>
          <w:color w:val="2F5496" w:themeColor="accent1" w:themeShade="BF"/>
        </w:rPr>
        <w:t>E</w:t>
      </w:r>
      <w:r>
        <w:rPr>
          <w:color w:val="2F5496" w:themeColor="accent1" w:themeShade="BF"/>
        </w:rPr>
        <w:t xml:space="preserve"> </w:t>
      </w:r>
      <w:r w:rsidRPr="00000191">
        <w:rPr>
          <w:b/>
          <w:i/>
          <w:color w:val="2F5496" w:themeColor="accent1" w:themeShade="BF"/>
        </w:rPr>
        <w:t xml:space="preserve">SULLA GESTIONE </w:t>
      </w:r>
    </w:p>
    <w:p w14:paraId="78D48BD9" w14:textId="5CF5C9E9" w:rsidR="00000191" w:rsidRPr="00B2302B" w:rsidRDefault="00000191" w:rsidP="00B2302B">
      <w:pPr>
        <w:jc w:val="center"/>
        <w:rPr>
          <w:b/>
          <w:i/>
          <w:color w:val="2F5496" w:themeColor="accent1" w:themeShade="BF"/>
        </w:rPr>
      </w:pPr>
      <w:r w:rsidRPr="00000191">
        <w:rPr>
          <w:b/>
          <w:i/>
          <w:color w:val="2F5496" w:themeColor="accent1" w:themeShade="BF"/>
        </w:rPr>
        <w:t>PER L’ANNO 2022</w:t>
      </w:r>
    </w:p>
    <w:p w14:paraId="68008144" w14:textId="77777777" w:rsidR="0028082A" w:rsidRPr="00000191" w:rsidRDefault="0028082A" w:rsidP="0028082A">
      <w:pPr>
        <w:jc w:val="both"/>
        <w:rPr>
          <w:b/>
          <w:i/>
        </w:rPr>
      </w:pPr>
    </w:p>
    <w:p w14:paraId="61AB9856" w14:textId="74F9C5E8" w:rsidR="00ED0AC1" w:rsidRDefault="0028082A" w:rsidP="005A499D">
      <w:pPr>
        <w:spacing w:before="81"/>
        <w:ind w:left="392"/>
        <w:outlineLvl w:val="0"/>
        <w:rPr>
          <w:b/>
          <w:bCs/>
          <w:color w:val="16355C"/>
          <w:sz w:val="24"/>
          <w:szCs w:val="24"/>
        </w:rPr>
      </w:pPr>
      <w:r w:rsidRPr="0028082A">
        <w:rPr>
          <w:b/>
          <w:bCs/>
          <w:color w:val="16355C"/>
          <w:sz w:val="24"/>
          <w:szCs w:val="24"/>
        </w:rPr>
        <w:t>Premessa</w:t>
      </w:r>
    </w:p>
    <w:p w14:paraId="2D2A4D78" w14:textId="77777777" w:rsidR="00E67056" w:rsidRPr="005A499D" w:rsidRDefault="00E67056" w:rsidP="005A499D">
      <w:pPr>
        <w:spacing w:before="81"/>
        <w:ind w:left="392"/>
        <w:outlineLvl w:val="0"/>
        <w:rPr>
          <w:b/>
          <w:bCs/>
          <w:sz w:val="24"/>
          <w:szCs w:val="24"/>
        </w:rPr>
      </w:pPr>
    </w:p>
    <w:p w14:paraId="5F537B90" w14:textId="53DB97C8" w:rsidR="005A499D" w:rsidRPr="00640E56" w:rsidRDefault="005A499D" w:rsidP="00640E56">
      <w:pPr>
        <w:spacing w:line="281" w:lineRule="auto"/>
        <w:ind w:left="284" w:right="227" w:firstLine="709"/>
        <w:jc w:val="both"/>
        <w:rPr>
          <w:b/>
          <w:bCs/>
        </w:rPr>
      </w:pPr>
      <w:r w:rsidRPr="005A499D">
        <w:t xml:space="preserve">La presente Direttiva generale costituisce parte integrante del </w:t>
      </w:r>
      <w:r w:rsidR="00640E56" w:rsidRPr="00640E56">
        <w:t>Piano integrato di attività e organizzazione </w:t>
      </w:r>
      <w:r w:rsidR="00640E56">
        <w:rPr>
          <w:b/>
          <w:bCs/>
        </w:rPr>
        <w:t>(</w:t>
      </w:r>
      <w:r>
        <w:t>PIAO</w:t>
      </w:r>
      <w:r w:rsidR="00640E56">
        <w:t>)</w:t>
      </w:r>
      <w:r>
        <w:t xml:space="preserve"> </w:t>
      </w:r>
      <w:r w:rsidRPr="005A499D">
        <w:t>e contiene, per l’anno 202</w:t>
      </w:r>
      <w:r>
        <w:t>2</w:t>
      </w:r>
      <w:r w:rsidRPr="005A499D">
        <w:t>, gli indirizzi generali per l’attività amministrativa e la gestione del Ministero dell’università e della ricerca (MUR).</w:t>
      </w:r>
    </w:p>
    <w:p w14:paraId="4160DE9F" w14:textId="0C1B98F2" w:rsidR="00B2302B" w:rsidRPr="00B2302B" w:rsidRDefault="005A499D" w:rsidP="005A499D">
      <w:pPr>
        <w:spacing w:line="281" w:lineRule="auto"/>
        <w:ind w:left="284" w:right="227" w:firstLine="709"/>
        <w:jc w:val="both"/>
        <w:rPr>
          <w:w w:val="95"/>
        </w:rPr>
      </w:pPr>
      <w:r>
        <w:t xml:space="preserve">La stessa </w:t>
      </w:r>
      <w:r w:rsidR="00B2302B" w:rsidRPr="00B2302B">
        <w:t>è emanata ai sensi della vigente normativa in tema di esercizio delle funzioni di indirizzo politico-amministrativo e di programmazione e definizione degli obiettivi delle strutture di primo livello</w:t>
      </w:r>
      <w:r w:rsidR="00B2302B" w:rsidRPr="00B2302B">
        <w:rPr>
          <w:w w:val="95"/>
        </w:rPr>
        <w:t xml:space="preserve">: l’art. 8 del </w:t>
      </w:r>
      <w:r w:rsidR="00B2302B" w:rsidRPr="00B2302B">
        <w:rPr>
          <w:w w:val="95"/>
          <w:u w:val="single"/>
        </w:rPr>
        <w:t>d.lgs. n. 286 del 1999</w:t>
      </w:r>
      <w:r w:rsidR="00B2302B" w:rsidRPr="00B2302B">
        <w:rPr>
          <w:w w:val="95"/>
        </w:rPr>
        <w:t xml:space="preserve">; l’art. 4, comma 1, lett. b) e c) e l’art. 14, comma 1, lett. a) e b) del </w:t>
      </w:r>
      <w:r w:rsidR="00B2302B" w:rsidRPr="00B2302B">
        <w:rPr>
          <w:w w:val="95"/>
          <w:u w:val="single"/>
        </w:rPr>
        <w:t>d.lgs. n. 165 del 2001</w:t>
      </w:r>
      <w:r w:rsidR="00B2302B" w:rsidRPr="00B2302B">
        <w:rPr>
          <w:w w:val="95"/>
        </w:rPr>
        <w:t xml:space="preserve">, e l’art. 15, comma 2, lett. a) del </w:t>
      </w:r>
      <w:r w:rsidR="00B2302B" w:rsidRPr="00B2302B">
        <w:rPr>
          <w:w w:val="95"/>
          <w:u w:val="single"/>
        </w:rPr>
        <w:t>d.lgs. n.150 del 2009</w:t>
      </w:r>
      <w:r w:rsidR="00B2302B" w:rsidRPr="00B2302B">
        <w:rPr>
          <w:w w:val="95"/>
        </w:rPr>
        <w:t xml:space="preserve">. </w:t>
      </w:r>
    </w:p>
    <w:p w14:paraId="3C496057" w14:textId="373517E7" w:rsidR="00B2302B" w:rsidRPr="00B2302B" w:rsidRDefault="00B2302B" w:rsidP="00B2302B">
      <w:pPr>
        <w:spacing w:line="281" w:lineRule="auto"/>
        <w:ind w:left="284" w:right="227" w:firstLine="816"/>
        <w:jc w:val="both"/>
      </w:pPr>
      <w:r w:rsidRPr="00B2302B">
        <w:t>La Direttiva costituisce il documento base per la programmazione e la definizione degli obiettivi delle unità dirigenziali di primo livello con il quale il Ministro definisce e assegna le risorse stanziate</w:t>
      </w:r>
      <w:r w:rsidR="00B37198">
        <w:t>,</w:t>
      </w:r>
      <w:r w:rsidRPr="00B2302B">
        <w:t xml:space="preserve"> sulla base della Nota integrativa alla legge di bilancio</w:t>
      </w:r>
      <w:r w:rsidR="00B37198">
        <w:t>,</w:t>
      </w:r>
      <w:r w:rsidRPr="00B2302B">
        <w:t xml:space="preserve"> ai dirigenti preposti ai centri di responsabilità amministrativa.</w:t>
      </w:r>
    </w:p>
    <w:p w14:paraId="6601B6A1" w14:textId="08EF4EDC" w:rsidR="00B2302B" w:rsidRPr="00B2302B" w:rsidRDefault="00B2302B" w:rsidP="00B2302B">
      <w:pPr>
        <w:spacing w:before="4" w:line="280" w:lineRule="auto"/>
        <w:ind w:left="284" w:right="227" w:firstLine="816"/>
        <w:jc w:val="both"/>
      </w:pPr>
      <w:r w:rsidRPr="00B2302B">
        <w:rPr>
          <w:spacing w:val="-1"/>
        </w:rPr>
        <w:t xml:space="preserve">Essa </w:t>
      </w:r>
      <w:r w:rsidR="00B37198">
        <w:rPr>
          <w:spacing w:val="-1"/>
        </w:rPr>
        <w:t>rappresenta</w:t>
      </w:r>
      <w:r w:rsidRPr="00B2302B">
        <w:rPr>
          <w:spacing w:val="-1"/>
        </w:rPr>
        <w:t xml:space="preserve"> l’atto fondamentale del processo di programmazione e assicura il corretto ed efficiente impiego delle risorse assegnate, in coerenza </w:t>
      </w:r>
      <w:r w:rsidRPr="00B2302B">
        <w:t>con gli indirizzi di pianificazione triennale</w:t>
      </w:r>
      <w:r w:rsidRPr="00B2302B">
        <w:rPr>
          <w:spacing w:val="1"/>
        </w:rPr>
        <w:t xml:space="preserve"> </w:t>
      </w:r>
      <w:r w:rsidRPr="00B2302B">
        <w:t xml:space="preserve">contenuti nel Programma di Governo, nel Documento di Economia e Finanza, nella Nota </w:t>
      </w:r>
      <w:r w:rsidR="003B77CA" w:rsidRPr="00B2302B">
        <w:t>integrativa</w:t>
      </w:r>
      <w:r w:rsidR="003B77CA">
        <w:t xml:space="preserve"> </w:t>
      </w:r>
      <w:r w:rsidR="003B77CA" w:rsidRPr="00B2302B">
        <w:rPr>
          <w:spacing w:val="-57"/>
        </w:rPr>
        <w:t>allo</w:t>
      </w:r>
      <w:r w:rsidRPr="00B2302B">
        <w:rPr>
          <w:spacing w:val="-6"/>
        </w:rPr>
        <w:t xml:space="preserve"> </w:t>
      </w:r>
      <w:r w:rsidRPr="00B2302B">
        <w:rPr>
          <w:spacing w:val="-1"/>
        </w:rPr>
        <w:t>stato</w:t>
      </w:r>
      <w:r w:rsidRPr="00B2302B">
        <w:rPr>
          <w:spacing w:val="-5"/>
        </w:rPr>
        <w:t xml:space="preserve"> </w:t>
      </w:r>
      <w:r w:rsidRPr="00B2302B">
        <w:rPr>
          <w:spacing w:val="-1"/>
        </w:rPr>
        <w:t>di</w:t>
      </w:r>
      <w:r w:rsidRPr="00B2302B">
        <w:rPr>
          <w:spacing w:val="-5"/>
        </w:rPr>
        <w:t xml:space="preserve"> </w:t>
      </w:r>
      <w:r w:rsidRPr="00B2302B">
        <w:rPr>
          <w:spacing w:val="-1"/>
        </w:rPr>
        <w:t>previsione</w:t>
      </w:r>
      <w:r w:rsidRPr="00B2302B">
        <w:rPr>
          <w:spacing w:val="-7"/>
        </w:rPr>
        <w:t xml:space="preserve"> </w:t>
      </w:r>
      <w:r w:rsidRPr="00B2302B">
        <w:rPr>
          <w:spacing w:val="-1"/>
        </w:rPr>
        <w:t>della</w:t>
      </w:r>
      <w:r w:rsidRPr="00B2302B">
        <w:rPr>
          <w:spacing w:val="-5"/>
        </w:rPr>
        <w:t xml:space="preserve"> </w:t>
      </w:r>
      <w:r w:rsidRPr="00B2302B">
        <w:rPr>
          <w:spacing w:val="-1"/>
        </w:rPr>
        <w:t>spesa del MUR, nella</w:t>
      </w:r>
      <w:r w:rsidRPr="00B2302B">
        <w:rPr>
          <w:spacing w:val="-6"/>
        </w:rPr>
        <w:t xml:space="preserve"> </w:t>
      </w:r>
      <w:r w:rsidRPr="00B2302B">
        <w:rPr>
          <w:spacing w:val="-1"/>
        </w:rPr>
        <w:t>legge</w:t>
      </w:r>
      <w:r w:rsidRPr="00B2302B">
        <w:rPr>
          <w:spacing w:val="-5"/>
        </w:rPr>
        <w:t xml:space="preserve"> </w:t>
      </w:r>
      <w:r w:rsidRPr="00B2302B">
        <w:rPr>
          <w:spacing w:val="-1"/>
        </w:rPr>
        <w:t>di</w:t>
      </w:r>
      <w:r w:rsidRPr="00B2302B">
        <w:rPr>
          <w:spacing w:val="-9"/>
        </w:rPr>
        <w:t xml:space="preserve"> </w:t>
      </w:r>
      <w:r w:rsidRPr="00B2302B">
        <w:rPr>
          <w:spacing w:val="-1"/>
        </w:rPr>
        <w:t>bilancio</w:t>
      </w:r>
      <w:r w:rsidRPr="00B2302B">
        <w:rPr>
          <w:spacing w:val="-5"/>
        </w:rPr>
        <w:t xml:space="preserve"> </w:t>
      </w:r>
      <w:r w:rsidRPr="00B2302B">
        <w:t>2021-2023,</w:t>
      </w:r>
      <w:r w:rsidRPr="00B2302B">
        <w:rPr>
          <w:spacing w:val="-6"/>
        </w:rPr>
        <w:t xml:space="preserve"> </w:t>
      </w:r>
      <w:r w:rsidRPr="00B2302B">
        <w:t>nonché</w:t>
      </w:r>
      <w:r w:rsidRPr="00B2302B">
        <w:rPr>
          <w:spacing w:val="-5"/>
        </w:rPr>
        <w:t xml:space="preserve"> </w:t>
      </w:r>
      <w:r w:rsidRPr="00B2302B">
        <w:t>con</w:t>
      </w:r>
      <w:r w:rsidRPr="00B2302B">
        <w:rPr>
          <w:spacing w:val="-5"/>
        </w:rPr>
        <w:t xml:space="preserve"> </w:t>
      </w:r>
      <w:r w:rsidRPr="00B2302B">
        <w:t>le</w:t>
      </w:r>
      <w:r w:rsidRPr="00B2302B">
        <w:rPr>
          <w:spacing w:val="-5"/>
        </w:rPr>
        <w:t xml:space="preserve"> </w:t>
      </w:r>
      <w:r w:rsidRPr="00B2302B">
        <w:t>priorità</w:t>
      </w:r>
      <w:r w:rsidRPr="00B2302B">
        <w:rPr>
          <w:spacing w:val="-6"/>
        </w:rPr>
        <w:t xml:space="preserve"> </w:t>
      </w:r>
      <w:r w:rsidRPr="00B2302B">
        <w:t xml:space="preserve">politiche </w:t>
      </w:r>
      <w:r w:rsidRPr="00B2302B">
        <w:rPr>
          <w:spacing w:val="-57"/>
        </w:rPr>
        <w:t xml:space="preserve"> </w:t>
      </w:r>
      <w:r w:rsidRPr="00B2302B">
        <w:t>dettate</w:t>
      </w:r>
      <w:r w:rsidRPr="00B2302B">
        <w:rPr>
          <w:spacing w:val="-3"/>
        </w:rPr>
        <w:t xml:space="preserve"> </w:t>
      </w:r>
      <w:r w:rsidRPr="00B2302B">
        <w:t>nell’Atto</w:t>
      </w:r>
      <w:r w:rsidRPr="00B2302B">
        <w:rPr>
          <w:spacing w:val="-3"/>
        </w:rPr>
        <w:t xml:space="preserve"> </w:t>
      </w:r>
      <w:r w:rsidRPr="00B2302B">
        <w:t>di</w:t>
      </w:r>
      <w:r w:rsidRPr="00B2302B">
        <w:rPr>
          <w:spacing w:val="-3"/>
        </w:rPr>
        <w:t xml:space="preserve"> </w:t>
      </w:r>
      <w:r w:rsidRPr="00B2302B">
        <w:t xml:space="preserve">indirizzo adottato con Decreto Ministeriale n. 271 del 4 marzo </w:t>
      </w:r>
      <w:r w:rsidRPr="00B2302B">
        <w:rPr>
          <w:spacing w:val="-2"/>
        </w:rPr>
        <w:t>2022.</w:t>
      </w:r>
    </w:p>
    <w:p w14:paraId="6AC83433" w14:textId="6BDA318C" w:rsidR="00B2302B" w:rsidRPr="00B2302B" w:rsidRDefault="00B2302B" w:rsidP="00B2302B">
      <w:pPr>
        <w:spacing w:before="4" w:line="280" w:lineRule="auto"/>
        <w:ind w:left="284" w:right="224" w:firstLine="707"/>
        <w:jc w:val="both"/>
      </w:pPr>
      <w:r w:rsidRPr="00B2302B">
        <w:t xml:space="preserve">Le schede di </w:t>
      </w:r>
      <w:r w:rsidRPr="00B2302B">
        <w:rPr>
          <w:i/>
          <w:iCs/>
        </w:rPr>
        <w:t>performance</w:t>
      </w:r>
      <w:r w:rsidRPr="00B2302B">
        <w:t xml:space="preserve"> sono riferite alle Direzioni generali di cui al decreto del Presidente del Consiglio dei ministri 30 settembre 2020, n. 164, “</w:t>
      </w:r>
      <w:r w:rsidRPr="00B2302B">
        <w:rPr>
          <w:i/>
          <w:iCs/>
        </w:rPr>
        <w:t>Regolamento recante l’organizzazione del Ministero dell’università e della ricerca</w:t>
      </w:r>
      <w:r w:rsidRPr="00B2302B">
        <w:t>”</w:t>
      </w:r>
      <w:r w:rsidR="006E5961">
        <w:t xml:space="preserve">, </w:t>
      </w:r>
      <w:r w:rsidRPr="00B2302B">
        <w:t xml:space="preserve"> decreto del Presidente del Consiglio dei ministri 30 settembre 2020, n. 165, “</w:t>
      </w:r>
      <w:r w:rsidRPr="00B2302B">
        <w:rPr>
          <w:i/>
          <w:iCs/>
        </w:rPr>
        <w:t>Regolamento recante l’organizzazione degli Uffici di diretta collaborazione del Ministro dell’università e della ricerca</w:t>
      </w:r>
      <w:r w:rsidRPr="00B2302B">
        <w:t xml:space="preserve">”, e all’Unità di Missione per il PNRR istituita  ai sensi dell’articolo 8, comma 1, del decreto-legge 31 maggio 2021, n.77, convertito, con modificazioni, dalla legge 29 luglio 2021, n. 108 e del </w:t>
      </w:r>
      <w:r w:rsidR="0070449A">
        <w:t>d</w:t>
      </w:r>
      <w:r w:rsidRPr="00B2302B">
        <w:t>ecreto del Ministro dell’università e della ricerca di concerto con il Ministro dell’economia e delle finanze, del 1 ottobre 2021 n. 1137.</w:t>
      </w:r>
    </w:p>
    <w:p w14:paraId="1D877015" w14:textId="1A40A3B7" w:rsidR="00B2302B" w:rsidRPr="00B2302B" w:rsidRDefault="00B2302B" w:rsidP="00B2302B">
      <w:pPr>
        <w:spacing w:before="4" w:line="280" w:lineRule="auto"/>
        <w:ind w:left="284" w:right="227" w:firstLine="708"/>
        <w:jc w:val="both"/>
        <w:rPr>
          <w:spacing w:val="-1"/>
        </w:rPr>
      </w:pPr>
      <w:r w:rsidRPr="00B2302B">
        <w:rPr>
          <w:spacing w:val="-1"/>
        </w:rPr>
        <w:t xml:space="preserve">Ai sensi dell’articolo 9, comma 1-bis, del decreto legislativo 27 ottobre 2009, n. 150, la misurazione e valutazione della </w:t>
      </w:r>
      <w:r w:rsidRPr="0070449A">
        <w:rPr>
          <w:i/>
          <w:iCs/>
          <w:spacing w:val="-1"/>
        </w:rPr>
        <w:t>performance</w:t>
      </w:r>
      <w:r w:rsidRPr="00B2302B">
        <w:rPr>
          <w:spacing w:val="-1"/>
        </w:rPr>
        <w:t xml:space="preserve"> individuale dei dirigenti titolari degli incarichi dirigenziali di primo livello, è collegata al raggiungimento degli obiettivi individuati nella </w:t>
      </w:r>
      <w:r w:rsidR="00E63487">
        <w:rPr>
          <w:spacing w:val="-1"/>
        </w:rPr>
        <w:t>D</w:t>
      </w:r>
      <w:r w:rsidRPr="00B2302B">
        <w:rPr>
          <w:spacing w:val="-1"/>
        </w:rPr>
        <w:t xml:space="preserve">irettiva </w:t>
      </w:r>
      <w:r w:rsidR="00E63487">
        <w:rPr>
          <w:spacing w:val="-1"/>
        </w:rPr>
        <w:t>G</w:t>
      </w:r>
      <w:r w:rsidRPr="00B2302B">
        <w:rPr>
          <w:spacing w:val="-1"/>
        </w:rPr>
        <w:t xml:space="preserve">enerale per l'azione amministrativa e la gestione e nel Piano della </w:t>
      </w:r>
      <w:r w:rsidRPr="005E09BF">
        <w:rPr>
          <w:i/>
          <w:iCs/>
          <w:spacing w:val="-1"/>
        </w:rPr>
        <w:t>performance,</w:t>
      </w:r>
      <w:r w:rsidR="00E63487">
        <w:rPr>
          <w:spacing w:val="-1"/>
        </w:rPr>
        <w:t xml:space="preserve"> ora Sezione </w:t>
      </w:r>
      <w:r w:rsidR="005D4617" w:rsidRPr="005E09BF">
        <w:rPr>
          <w:i/>
          <w:iCs/>
          <w:spacing w:val="-1"/>
        </w:rPr>
        <w:t>p</w:t>
      </w:r>
      <w:r w:rsidR="00E63487" w:rsidRPr="005E09BF">
        <w:rPr>
          <w:i/>
          <w:iCs/>
          <w:spacing w:val="-1"/>
        </w:rPr>
        <w:t>erformance</w:t>
      </w:r>
      <w:r w:rsidR="005D4617">
        <w:rPr>
          <w:spacing w:val="-1"/>
        </w:rPr>
        <w:t xml:space="preserve"> del PIAO, </w:t>
      </w:r>
      <w:r w:rsidRPr="00B2302B">
        <w:rPr>
          <w:spacing w:val="-1"/>
        </w:rPr>
        <w:t>nonché di quelli specifici definiti nel contratto individuale.</w:t>
      </w:r>
    </w:p>
    <w:p w14:paraId="332DA3A1" w14:textId="1BC10BDF" w:rsidR="00B2302B" w:rsidRPr="006C5E40" w:rsidRDefault="00B2302B" w:rsidP="00B2302B">
      <w:pPr>
        <w:spacing w:before="4" w:line="280" w:lineRule="auto"/>
        <w:ind w:right="227"/>
        <w:jc w:val="both"/>
        <w:rPr>
          <w:spacing w:val="-1"/>
        </w:rPr>
      </w:pPr>
    </w:p>
    <w:p w14:paraId="57F1280D" w14:textId="77777777" w:rsidR="00B2302B" w:rsidRPr="00B2302B" w:rsidRDefault="00B2302B" w:rsidP="00B2302B">
      <w:pPr>
        <w:spacing w:before="4" w:line="280" w:lineRule="auto"/>
        <w:ind w:right="227"/>
        <w:jc w:val="both"/>
        <w:rPr>
          <w:spacing w:val="-1"/>
        </w:rPr>
      </w:pPr>
    </w:p>
    <w:p w14:paraId="78EB300D" w14:textId="1CDF5904" w:rsidR="00B2302B" w:rsidRDefault="00B2302B" w:rsidP="00B2302B">
      <w:pPr>
        <w:spacing w:before="81"/>
        <w:ind w:left="392"/>
        <w:outlineLvl w:val="0"/>
        <w:rPr>
          <w:b/>
          <w:bCs/>
          <w:color w:val="16355C"/>
          <w:sz w:val="24"/>
          <w:szCs w:val="24"/>
        </w:rPr>
      </w:pPr>
      <w:r w:rsidRPr="00B2302B">
        <w:rPr>
          <w:b/>
          <w:bCs/>
          <w:color w:val="16355C"/>
          <w:sz w:val="24"/>
          <w:szCs w:val="24"/>
        </w:rPr>
        <w:t>Destinatari</w:t>
      </w:r>
    </w:p>
    <w:p w14:paraId="3F66A441" w14:textId="77777777" w:rsidR="006C5E40" w:rsidRPr="00B2302B" w:rsidRDefault="006C5E40" w:rsidP="00B2302B">
      <w:pPr>
        <w:spacing w:before="81"/>
        <w:ind w:left="392"/>
        <w:outlineLvl w:val="0"/>
        <w:rPr>
          <w:b/>
          <w:bCs/>
          <w:color w:val="16355C"/>
          <w:sz w:val="24"/>
          <w:szCs w:val="24"/>
        </w:rPr>
      </w:pPr>
    </w:p>
    <w:p w14:paraId="0184E78A" w14:textId="6E6D511A" w:rsidR="00B2302B" w:rsidRPr="00BC3820" w:rsidRDefault="00B2302B" w:rsidP="00B2302B">
      <w:pPr>
        <w:spacing w:line="281" w:lineRule="auto"/>
        <w:ind w:left="391" w:right="227" w:firstLine="709"/>
        <w:jc w:val="both"/>
      </w:pPr>
      <w:r w:rsidRPr="00B2302B">
        <w:t xml:space="preserve">La presente Direttiva è indirizzata, ai sensi dell’articolo dell’art. 3, comma 3 del decreto legislativo 7 agosto 1997, n. 279, alle Strutture come individuate dagli atti organizzativi sopra citati, </w:t>
      </w:r>
      <w:r w:rsidRPr="00B2302B">
        <w:lastRenderedPageBreak/>
        <w:t>indicati nella tabella che segue, che costituiscono Centri di responsabilità amministrativa (CdR) ai quali sono associati, nello stato di previsione della spesa, le Missioni e Programmi</w:t>
      </w:r>
      <w:r w:rsidR="008D37B4" w:rsidRPr="008D37B4">
        <w:t xml:space="preserve"> </w:t>
      </w:r>
      <w:r w:rsidR="008D37B4" w:rsidRPr="00B2302B">
        <w:t>sottoindicat</w:t>
      </w:r>
      <w:r w:rsidR="008D37B4">
        <w:t>i</w:t>
      </w:r>
      <w:r w:rsidRPr="00B2302B">
        <w:t xml:space="preserve">. </w:t>
      </w:r>
    </w:p>
    <w:p w14:paraId="08E843C4" w14:textId="58C7CFE7" w:rsidR="00B2302B" w:rsidRDefault="00B2302B" w:rsidP="00B2302B">
      <w:pPr>
        <w:spacing w:line="281" w:lineRule="auto"/>
        <w:ind w:left="391" w:right="227" w:firstLine="709"/>
        <w:jc w:val="both"/>
        <w:rPr>
          <w:sz w:val="24"/>
          <w:szCs w:val="24"/>
        </w:rPr>
      </w:pPr>
      <w:r w:rsidRPr="00B2302B">
        <w:t xml:space="preserve"> Inoltre, ulteriore struttura di livello dirigenziale generale</w:t>
      </w:r>
      <w:r w:rsidR="008D37B4">
        <w:t>,</w:t>
      </w:r>
      <w:r w:rsidRPr="00B2302B">
        <w:t xml:space="preserve"> è l’Unità di Missione per il PNRR che si colloca nell’ambito del Segretariato Generale del Ministero e non costituisce Centro autonomo di responsabilità amministrativa ma alla quale  sono affidati  obiettivi strategici</w:t>
      </w:r>
      <w:r w:rsidR="008D37B4">
        <w:t>,</w:t>
      </w:r>
      <w:r w:rsidRPr="00B2302B">
        <w:t xml:space="preserve"> previsti dalla normativa</w:t>
      </w:r>
      <w:r w:rsidR="008D37B4">
        <w:t>,</w:t>
      </w:r>
      <w:r w:rsidRPr="00B2302B">
        <w:t xml:space="preserve"> ai fini del coordinamento della fase attuativa del PNRR</w:t>
      </w:r>
      <w:r w:rsidR="00394A8A">
        <w:t>,</w:t>
      </w:r>
      <w:r w:rsidRPr="00B2302B">
        <w:t xml:space="preserve"> legati alla realizzazione della priorità politica n.1 “</w:t>
      </w:r>
      <w:r w:rsidRPr="00740375">
        <w:rPr>
          <w:i/>
          <w:iCs/>
        </w:rPr>
        <w:t>Attuare in modo efficiente ed efficace il Piano Nazionale di Ripresa e Resilienza</w:t>
      </w:r>
      <w:r w:rsidRPr="00B2302B">
        <w:t>"</w:t>
      </w:r>
      <w:r w:rsidR="00B46E88">
        <w:t>,</w:t>
      </w:r>
      <w:r w:rsidRPr="00B2302B">
        <w:t xml:space="preserve">  prevista nell’</w:t>
      </w:r>
      <w:r w:rsidR="00B46E88">
        <w:t>A</w:t>
      </w:r>
      <w:r w:rsidRPr="00B2302B">
        <w:t>tto di indirizzo del Ministro. In particolare, la suddetta Unità di Missione</w:t>
      </w:r>
      <w:r w:rsidR="00B46E88">
        <w:t>,</w:t>
      </w:r>
      <w:r w:rsidRPr="00B2302B">
        <w:t xml:space="preserve"> coordina le attività di monitoraggio sull’attuazione degli interventi e delle riforme PNRR di competenza del Ministero rappresentando il punto di contatto con il Servizio centrale per il PNRR per l'espletamento degli adempimenti previsti dal Regolamento (UE) 2021/241 e verifica la regolarità delle procedure e delle spese. Ai titolari</w:t>
      </w:r>
      <w:r w:rsidRPr="00740375">
        <w:t xml:space="preserve"> dei CdR e all’Unità di Missione sono assegnati, per il corrente anno, gli obiettivi esplicitati nella presente Direttiva, che gli stessi perseguiranno avvalendosi delle risorse finanziarie e delle risorse umane attribuite alle diverse strutture</w:t>
      </w:r>
      <w:r w:rsidRPr="00B2302B">
        <w:rPr>
          <w:sz w:val="24"/>
          <w:szCs w:val="24"/>
        </w:rPr>
        <w:t>.</w:t>
      </w:r>
    </w:p>
    <w:p w14:paraId="63EFDD4D" w14:textId="77777777" w:rsidR="000B65D4" w:rsidRDefault="000B65D4" w:rsidP="00B2302B">
      <w:pPr>
        <w:spacing w:line="281" w:lineRule="auto"/>
        <w:ind w:left="391" w:right="227" w:firstLine="709"/>
        <w:jc w:val="both"/>
        <w:rPr>
          <w:sz w:val="24"/>
          <w:szCs w:val="24"/>
        </w:rPr>
      </w:pPr>
    </w:p>
    <w:p w14:paraId="102D0A4A" w14:textId="77777777" w:rsidR="000B65D4" w:rsidRDefault="000B65D4" w:rsidP="00B2302B">
      <w:pPr>
        <w:spacing w:line="281" w:lineRule="auto"/>
        <w:ind w:left="391" w:right="227" w:firstLine="709"/>
        <w:jc w:val="both"/>
        <w:rPr>
          <w:sz w:val="24"/>
          <w:szCs w:val="24"/>
        </w:rPr>
      </w:pPr>
    </w:p>
    <w:p w14:paraId="6E16B1DC" w14:textId="77777777" w:rsidR="006C5E40" w:rsidRPr="00B2302B" w:rsidRDefault="006C5E40" w:rsidP="00BC3820">
      <w:pPr>
        <w:spacing w:before="260" w:line="280" w:lineRule="auto"/>
        <w:ind w:right="224"/>
        <w:jc w:val="both"/>
        <w:rPr>
          <w:sz w:val="24"/>
          <w:szCs w:val="24"/>
        </w:rPr>
      </w:pPr>
    </w:p>
    <w:tbl>
      <w:tblPr>
        <w:tblStyle w:val="Tabellagriglia5scura-colore51"/>
        <w:tblpPr w:leftFromText="141" w:rightFromText="141" w:vertAnchor="page" w:horzAnchor="margin" w:tblpY="7111"/>
        <w:tblW w:w="0" w:type="auto"/>
        <w:tblLook w:val="04A0" w:firstRow="1" w:lastRow="0" w:firstColumn="1" w:lastColumn="0" w:noHBand="0" w:noVBand="1"/>
      </w:tblPr>
      <w:tblGrid>
        <w:gridCol w:w="662"/>
        <w:gridCol w:w="2882"/>
        <w:gridCol w:w="2122"/>
        <w:gridCol w:w="3962"/>
      </w:tblGrid>
      <w:tr w:rsidR="006C5E40" w:rsidRPr="00BC3820" w14:paraId="4CF6C0D1" w14:textId="77777777" w:rsidTr="000B6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dxa"/>
          </w:tcPr>
          <w:p w14:paraId="121B2625" w14:textId="77777777" w:rsidR="006C5E40" w:rsidRPr="00BC3820" w:rsidRDefault="006C5E40" w:rsidP="000B65D4">
            <w:pPr>
              <w:widowControl/>
              <w:autoSpaceDE/>
              <w:autoSpaceDN/>
              <w:ind w:left="-397"/>
              <w:contextualSpacing/>
              <w:jc w:val="center"/>
              <w:rPr>
                <w:rFonts w:eastAsia="Arial Unicode MS"/>
                <w:iCs/>
                <w:sz w:val="18"/>
                <w:szCs w:val="18"/>
              </w:rPr>
            </w:pPr>
            <w:r w:rsidRPr="00BC3820">
              <w:rPr>
                <w:rFonts w:eastAsia="Arial Unicode MS"/>
                <w:iCs/>
                <w:sz w:val="18"/>
                <w:szCs w:val="18"/>
              </w:rPr>
              <w:t>cc    CdR</w:t>
            </w:r>
          </w:p>
        </w:tc>
        <w:tc>
          <w:tcPr>
            <w:tcW w:w="2882" w:type="dxa"/>
            <w:hideMark/>
          </w:tcPr>
          <w:p w14:paraId="36932352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iCs/>
                <w:sz w:val="18"/>
                <w:szCs w:val="18"/>
              </w:rPr>
            </w:pPr>
            <w:r w:rsidRPr="00BC3820">
              <w:rPr>
                <w:rFonts w:eastAsia="Arial Unicode MS"/>
                <w:iCs/>
                <w:sz w:val="18"/>
                <w:szCs w:val="18"/>
              </w:rPr>
              <w:t>DENOMINAZIONE</w:t>
            </w:r>
          </w:p>
        </w:tc>
        <w:tc>
          <w:tcPr>
            <w:tcW w:w="2122" w:type="dxa"/>
            <w:hideMark/>
          </w:tcPr>
          <w:p w14:paraId="45BEDE60" w14:textId="77777777" w:rsidR="006C5E40" w:rsidRPr="00BC3820" w:rsidRDefault="006C5E40" w:rsidP="000B65D4">
            <w:pPr>
              <w:widowControl/>
              <w:autoSpaceDE/>
              <w:autoSpaceDN/>
              <w:ind w:left="3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iCs/>
                <w:sz w:val="18"/>
                <w:szCs w:val="18"/>
              </w:rPr>
            </w:pPr>
            <w:r w:rsidRPr="00BC3820">
              <w:rPr>
                <w:rFonts w:eastAsia="Arial Unicode MS"/>
                <w:iCs/>
                <w:sz w:val="18"/>
                <w:szCs w:val="18"/>
              </w:rPr>
              <w:t>Missione</w:t>
            </w:r>
          </w:p>
        </w:tc>
        <w:tc>
          <w:tcPr>
            <w:tcW w:w="3962" w:type="dxa"/>
            <w:hideMark/>
          </w:tcPr>
          <w:p w14:paraId="4665DDB2" w14:textId="77777777" w:rsidR="006C5E40" w:rsidRPr="00BC3820" w:rsidRDefault="006C5E40" w:rsidP="000B65D4">
            <w:pPr>
              <w:widowControl/>
              <w:autoSpaceDE/>
              <w:autoSpaceDN/>
              <w:ind w:left="33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iCs/>
                <w:sz w:val="18"/>
                <w:szCs w:val="18"/>
              </w:rPr>
            </w:pPr>
            <w:r w:rsidRPr="00BC3820">
              <w:rPr>
                <w:rFonts w:eastAsia="Arial Unicode MS"/>
                <w:iCs/>
                <w:sz w:val="18"/>
                <w:szCs w:val="18"/>
              </w:rPr>
              <w:t>Programma</w:t>
            </w:r>
          </w:p>
        </w:tc>
      </w:tr>
      <w:tr w:rsidR="006C5E40" w:rsidRPr="00BC3820" w14:paraId="3A9F91C5" w14:textId="77777777" w:rsidTr="000B6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dxa"/>
          </w:tcPr>
          <w:p w14:paraId="314FF2E2" w14:textId="77777777" w:rsidR="006C5E40" w:rsidRPr="00BC3820" w:rsidRDefault="006C5E40" w:rsidP="000B65D4">
            <w:pPr>
              <w:widowControl/>
              <w:autoSpaceDE/>
              <w:autoSpaceDN/>
              <w:ind w:left="720" w:hanging="578"/>
              <w:contextualSpacing/>
              <w:jc w:val="center"/>
              <w:rPr>
                <w:rFonts w:eastAsia="Arial Unicode MS"/>
                <w:iCs/>
                <w:sz w:val="18"/>
                <w:szCs w:val="18"/>
              </w:rPr>
            </w:pPr>
            <w:r w:rsidRPr="00BC3820">
              <w:rPr>
                <w:rFonts w:eastAsia="Arial Unicode MS"/>
                <w:iCs/>
                <w:sz w:val="18"/>
                <w:szCs w:val="18"/>
              </w:rPr>
              <w:t>1</w:t>
            </w:r>
          </w:p>
        </w:tc>
        <w:tc>
          <w:tcPr>
            <w:tcW w:w="2882" w:type="dxa"/>
            <w:hideMark/>
          </w:tcPr>
          <w:p w14:paraId="6325A396" w14:textId="77777777" w:rsidR="006C5E40" w:rsidRPr="00BC3820" w:rsidRDefault="006C5E40" w:rsidP="000B65D4">
            <w:pPr>
              <w:widowControl/>
              <w:autoSpaceDE/>
              <w:autoSpaceDN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sz w:val="18"/>
                <w:szCs w:val="18"/>
              </w:rPr>
              <w:t>UFFICIO DI GABINETTO</w:t>
            </w:r>
          </w:p>
        </w:tc>
        <w:tc>
          <w:tcPr>
            <w:tcW w:w="2122" w:type="dxa"/>
            <w:hideMark/>
          </w:tcPr>
          <w:p w14:paraId="3601A961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  <w:t>Servizi istituzionali e generali delle amministrazioni pubbliche</w:t>
            </w:r>
          </w:p>
        </w:tc>
        <w:tc>
          <w:tcPr>
            <w:tcW w:w="3962" w:type="dxa"/>
            <w:hideMark/>
          </w:tcPr>
          <w:p w14:paraId="78CBB9B0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  <w:t>Indirizzo politico</w:t>
            </w:r>
          </w:p>
        </w:tc>
      </w:tr>
      <w:tr w:rsidR="006C5E40" w:rsidRPr="00BC3820" w14:paraId="2A5F6348" w14:textId="77777777" w:rsidTr="000B65D4">
        <w:trPr>
          <w:trHeight w:val="8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dxa"/>
          </w:tcPr>
          <w:p w14:paraId="16A7FDB9" w14:textId="77777777" w:rsidR="006C5E40" w:rsidRPr="00BC3820" w:rsidRDefault="006C5E40" w:rsidP="000B65D4">
            <w:pPr>
              <w:widowControl/>
              <w:autoSpaceDE/>
              <w:autoSpaceDN/>
              <w:ind w:left="720" w:hanging="578"/>
              <w:contextualSpacing/>
              <w:jc w:val="center"/>
              <w:rPr>
                <w:rFonts w:eastAsia="Arial Unicode MS"/>
                <w:iCs/>
                <w:sz w:val="18"/>
                <w:szCs w:val="18"/>
              </w:rPr>
            </w:pPr>
            <w:r w:rsidRPr="00BC3820">
              <w:rPr>
                <w:rFonts w:eastAsia="Arial Unicode MS"/>
                <w:iCs/>
                <w:sz w:val="18"/>
                <w:szCs w:val="18"/>
              </w:rPr>
              <w:t>2</w:t>
            </w:r>
          </w:p>
        </w:tc>
        <w:tc>
          <w:tcPr>
            <w:tcW w:w="2882" w:type="dxa"/>
            <w:hideMark/>
          </w:tcPr>
          <w:p w14:paraId="45BD5CCD" w14:textId="77777777" w:rsidR="006C5E40" w:rsidRPr="00BC3820" w:rsidRDefault="006C5E40" w:rsidP="000B65D4">
            <w:pPr>
              <w:widowControl/>
              <w:autoSpaceDE/>
              <w:autoSpaceDN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sz w:val="18"/>
                <w:szCs w:val="18"/>
              </w:rPr>
              <w:t>SEGRETARIATO GENERALE</w:t>
            </w:r>
          </w:p>
        </w:tc>
        <w:tc>
          <w:tcPr>
            <w:tcW w:w="2122" w:type="dxa"/>
            <w:hideMark/>
          </w:tcPr>
          <w:p w14:paraId="0C9DFFF7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  <w:t>Istruzione universitaria e formazione post-universitaria</w:t>
            </w:r>
          </w:p>
        </w:tc>
        <w:tc>
          <w:tcPr>
            <w:tcW w:w="3962" w:type="dxa"/>
            <w:hideMark/>
          </w:tcPr>
          <w:p w14:paraId="247151E4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  <w:t>Coordinamento e supporto amministrativo per le politiche della formazione superiore e della ricerca</w:t>
            </w:r>
          </w:p>
        </w:tc>
      </w:tr>
      <w:tr w:rsidR="006C5E40" w:rsidRPr="00BC3820" w14:paraId="04445E0A" w14:textId="77777777" w:rsidTr="000B6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dxa"/>
          </w:tcPr>
          <w:p w14:paraId="287097A0" w14:textId="77777777" w:rsidR="006C5E40" w:rsidRPr="00BC3820" w:rsidRDefault="006C5E40" w:rsidP="000B65D4">
            <w:pPr>
              <w:widowControl/>
              <w:autoSpaceDE/>
              <w:autoSpaceDN/>
              <w:ind w:hanging="11"/>
              <w:contextualSpacing/>
              <w:jc w:val="center"/>
              <w:rPr>
                <w:rFonts w:eastAsia="Arial Unicode MS"/>
                <w:iCs/>
                <w:sz w:val="18"/>
                <w:szCs w:val="18"/>
              </w:rPr>
            </w:pPr>
            <w:r w:rsidRPr="00BC3820">
              <w:rPr>
                <w:rFonts w:eastAsia="Arial Unicode MS"/>
                <w:iCs/>
                <w:sz w:val="18"/>
                <w:szCs w:val="18"/>
              </w:rPr>
              <w:t>3</w:t>
            </w:r>
          </w:p>
        </w:tc>
        <w:tc>
          <w:tcPr>
            <w:tcW w:w="2882" w:type="dxa"/>
            <w:hideMark/>
          </w:tcPr>
          <w:p w14:paraId="0275A022" w14:textId="77777777" w:rsidR="006C5E40" w:rsidRPr="00BC3820" w:rsidRDefault="006C5E40" w:rsidP="000B65D4">
            <w:pPr>
              <w:widowControl/>
              <w:autoSpaceDE/>
              <w:autoSpaceDN/>
              <w:ind w:hanging="11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sz w:val="18"/>
                <w:szCs w:val="18"/>
              </w:rPr>
              <w:t>DIREZIONE GENERALE DELLE ISTITUZIONI DELLA FORMAZIONE SUPERIORE</w:t>
            </w:r>
          </w:p>
        </w:tc>
        <w:tc>
          <w:tcPr>
            <w:tcW w:w="2122" w:type="dxa"/>
            <w:hideMark/>
          </w:tcPr>
          <w:p w14:paraId="758CE502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  <w:t>Istruzione universitaria e formazione post-universitaria</w:t>
            </w:r>
          </w:p>
        </w:tc>
        <w:tc>
          <w:tcPr>
            <w:tcW w:w="3962" w:type="dxa"/>
            <w:hideMark/>
          </w:tcPr>
          <w:p w14:paraId="393A6176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</w:pPr>
          </w:p>
          <w:p w14:paraId="0FB9AD48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  <w:t>Istituzioni dell’Alta formazione artistica, musicale e coreutica</w:t>
            </w:r>
          </w:p>
          <w:p w14:paraId="61396C96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</w:pPr>
          </w:p>
          <w:p w14:paraId="730790A1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  <w:t>Sistema universitario e formazione post-universitaria</w:t>
            </w:r>
          </w:p>
        </w:tc>
      </w:tr>
      <w:tr w:rsidR="006C5E40" w:rsidRPr="00BC3820" w14:paraId="3E95BFC6" w14:textId="77777777" w:rsidTr="000B6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dxa"/>
          </w:tcPr>
          <w:p w14:paraId="4DD84853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rPr>
                <w:rFonts w:eastAsia="Arial Unicode MS"/>
                <w:iCs/>
                <w:sz w:val="18"/>
                <w:szCs w:val="18"/>
              </w:rPr>
            </w:pPr>
            <w:r w:rsidRPr="00BC3820">
              <w:rPr>
                <w:rFonts w:eastAsia="Arial Unicode MS"/>
                <w:iCs/>
                <w:sz w:val="18"/>
                <w:szCs w:val="18"/>
              </w:rPr>
              <w:t>4</w:t>
            </w:r>
          </w:p>
        </w:tc>
        <w:tc>
          <w:tcPr>
            <w:tcW w:w="2882" w:type="dxa"/>
            <w:hideMark/>
          </w:tcPr>
          <w:p w14:paraId="7D5B75CF" w14:textId="77777777" w:rsidR="006C5E40" w:rsidRPr="00BC3820" w:rsidRDefault="006C5E40" w:rsidP="000B65D4">
            <w:pPr>
              <w:widowControl/>
              <w:autoSpaceDE/>
              <w:autoSpaceDN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sz w:val="18"/>
                <w:szCs w:val="18"/>
              </w:rPr>
              <w:t>DIREZIONE GENERALE DEGLI ORDINAMENTI DELLA FORMAZIONE SUPERIORE E DEL DIRITTO ALLO   STUDIO</w:t>
            </w:r>
          </w:p>
        </w:tc>
        <w:tc>
          <w:tcPr>
            <w:tcW w:w="2122" w:type="dxa"/>
            <w:hideMark/>
          </w:tcPr>
          <w:p w14:paraId="38C3885A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  <w:t>Istruzione universitaria e formazione post-universitaria</w:t>
            </w:r>
          </w:p>
        </w:tc>
        <w:tc>
          <w:tcPr>
            <w:tcW w:w="3962" w:type="dxa"/>
            <w:hideMark/>
          </w:tcPr>
          <w:p w14:paraId="4052ABCD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  <w:t>Diritto allo studio</w:t>
            </w:r>
            <w:r w:rsidRPr="00BC3820"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  <w:vertAlign w:val="subscript"/>
              </w:rPr>
              <w:t> </w:t>
            </w:r>
            <w:r w:rsidRPr="00BC3820"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  <w:t>e sviluppo della formazione superiore</w:t>
            </w:r>
          </w:p>
        </w:tc>
      </w:tr>
      <w:tr w:rsidR="006C5E40" w:rsidRPr="00BC3820" w14:paraId="400D1755" w14:textId="77777777" w:rsidTr="000B6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dxa"/>
          </w:tcPr>
          <w:p w14:paraId="11EAE2C7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rPr>
                <w:rFonts w:eastAsia="Arial Unicode MS"/>
                <w:iCs/>
                <w:sz w:val="18"/>
                <w:szCs w:val="18"/>
              </w:rPr>
            </w:pPr>
            <w:r w:rsidRPr="00BC3820">
              <w:rPr>
                <w:rFonts w:eastAsia="Arial Unicode MS"/>
                <w:iCs/>
                <w:sz w:val="18"/>
                <w:szCs w:val="18"/>
              </w:rPr>
              <w:t>5</w:t>
            </w:r>
          </w:p>
        </w:tc>
        <w:tc>
          <w:tcPr>
            <w:tcW w:w="2882" w:type="dxa"/>
            <w:hideMark/>
          </w:tcPr>
          <w:p w14:paraId="7B0AA995" w14:textId="77777777" w:rsidR="006C5E40" w:rsidRPr="00BC3820" w:rsidRDefault="006C5E40" w:rsidP="000B65D4">
            <w:pPr>
              <w:widowControl/>
              <w:autoSpaceDE/>
              <w:autoSpaceDN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sz w:val="18"/>
                <w:szCs w:val="18"/>
              </w:rPr>
              <w:t>DIREZIONE GENERALE DELLA RICERCA</w:t>
            </w:r>
          </w:p>
        </w:tc>
        <w:tc>
          <w:tcPr>
            <w:tcW w:w="2122" w:type="dxa"/>
            <w:hideMark/>
          </w:tcPr>
          <w:p w14:paraId="6318A94B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  <w:t>Ricerca e innovazione</w:t>
            </w:r>
          </w:p>
        </w:tc>
        <w:tc>
          <w:tcPr>
            <w:tcW w:w="3962" w:type="dxa"/>
            <w:hideMark/>
          </w:tcPr>
          <w:p w14:paraId="44239F4D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  <w:t>Ricerca scientifica e</w:t>
            </w:r>
          </w:p>
          <w:p w14:paraId="25A32CE2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  <w:t>tecnologica di base e</w:t>
            </w:r>
          </w:p>
          <w:p w14:paraId="7FFDA0C1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  <w:t>applicata</w:t>
            </w:r>
          </w:p>
        </w:tc>
      </w:tr>
      <w:tr w:rsidR="006C5E40" w:rsidRPr="00BC3820" w14:paraId="4E83F1FA" w14:textId="77777777" w:rsidTr="000B6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dxa"/>
          </w:tcPr>
          <w:p w14:paraId="5144DE3C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rPr>
                <w:rFonts w:eastAsia="Arial Unicode MS"/>
                <w:iCs/>
                <w:sz w:val="18"/>
                <w:szCs w:val="18"/>
              </w:rPr>
            </w:pPr>
            <w:r w:rsidRPr="00BC3820">
              <w:rPr>
                <w:rFonts w:eastAsia="Arial Unicode MS"/>
                <w:iCs/>
                <w:sz w:val="18"/>
                <w:szCs w:val="18"/>
              </w:rPr>
              <w:t>6</w:t>
            </w:r>
          </w:p>
        </w:tc>
        <w:tc>
          <w:tcPr>
            <w:tcW w:w="2882" w:type="dxa"/>
            <w:hideMark/>
          </w:tcPr>
          <w:p w14:paraId="5A0E9324" w14:textId="77777777" w:rsidR="006C5E40" w:rsidRPr="00BC3820" w:rsidRDefault="006C5E40" w:rsidP="000B65D4">
            <w:pPr>
              <w:widowControl/>
              <w:autoSpaceDE/>
              <w:autoSpaceDN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sz w:val="18"/>
                <w:szCs w:val="18"/>
              </w:rPr>
              <w:t>DIREZIONE GENERALE DELL’INTERNALIZZAZIONE E DELLA COMUNICAZIONE</w:t>
            </w:r>
          </w:p>
        </w:tc>
        <w:tc>
          <w:tcPr>
            <w:tcW w:w="2122" w:type="dxa"/>
            <w:hideMark/>
          </w:tcPr>
          <w:p w14:paraId="7C2FA2C4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  <w:t>Istruzione universitaria e formazione post-universitaria</w:t>
            </w:r>
          </w:p>
        </w:tc>
        <w:tc>
          <w:tcPr>
            <w:tcW w:w="3962" w:type="dxa"/>
            <w:hideMark/>
          </w:tcPr>
          <w:p w14:paraId="4A843F79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  <w:t>Formazione superiore e ricerca in ambito internazionale</w:t>
            </w:r>
          </w:p>
        </w:tc>
      </w:tr>
      <w:tr w:rsidR="006C5E40" w:rsidRPr="00BC3820" w14:paraId="6075B1B5" w14:textId="77777777" w:rsidTr="000B6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dxa"/>
          </w:tcPr>
          <w:p w14:paraId="36E6E8AD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rPr>
                <w:rFonts w:eastAsia="Arial Unicode MS"/>
                <w:iCs/>
                <w:sz w:val="18"/>
                <w:szCs w:val="18"/>
              </w:rPr>
            </w:pPr>
            <w:r w:rsidRPr="00BC3820">
              <w:rPr>
                <w:rFonts w:eastAsia="Arial Unicode MS"/>
                <w:iCs/>
                <w:sz w:val="18"/>
                <w:szCs w:val="18"/>
              </w:rPr>
              <w:t>7</w:t>
            </w:r>
          </w:p>
        </w:tc>
        <w:tc>
          <w:tcPr>
            <w:tcW w:w="2882" w:type="dxa"/>
            <w:hideMark/>
          </w:tcPr>
          <w:p w14:paraId="5378FB0E" w14:textId="77777777" w:rsidR="006C5E40" w:rsidRPr="00BC3820" w:rsidRDefault="006C5E40" w:rsidP="000B65D4">
            <w:pPr>
              <w:widowControl/>
              <w:autoSpaceDE/>
              <w:autoSpaceDN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sz w:val="18"/>
                <w:szCs w:val="18"/>
              </w:rPr>
              <w:t>DIREZIONE GENERALE DEL PERSONALE, DEL BILANCIO E DEI SERVIZI STRUMENTALI</w:t>
            </w:r>
          </w:p>
        </w:tc>
        <w:tc>
          <w:tcPr>
            <w:tcW w:w="2122" w:type="dxa"/>
            <w:hideMark/>
          </w:tcPr>
          <w:p w14:paraId="6344297E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  <w:t>Servizi istituzionali e generali delle amministrazioni pubbliche</w:t>
            </w:r>
          </w:p>
          <w:p w14:paraId="48F8A5B5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</w:pPr>
          </w:p>
        </w:tc>
        <w:tc>
          <w:tcPr>
            <w:tcW w:w="3962" w:type="dxa"/>
            <w:hideMark/>
          </w:tcPr>
          <w:p w14:paraId="05F9EFEB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  <w:t>Servizi e affari generali per le amministrazioni di competenza</w:t>
            </w:r>
          </w:p>
        </w:tc>
      </w:tr>
      <w:tr w:rsidR="006C5E40" w:rsidRPr="00BC3820" w14:paraId="0DAE5216" w14:textId="77777777" w:rsidTr="000B6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2" w:type="dxa"/>
          </w:tcPr>
          <w:p w14:paraId="1E2F5475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rPr>
                <w:rFonts w:eastAsia="Arial Unicode MS"/>
                <w:iCs/>
                <w:sz w:val="18"/>
                <w:szCs w:val="18"/>
              </w:rPr>
            </w:pPr>
          </w:p>
        </w:tc>
        <w:tc>
          <w:tcPr>
            <w:tcW w:w="2882" w:type="dxa"/>
          </w:tcPr>
          <w:p w14:paraId="18C7CEF8" w14:textId="18EF87AC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sz w:val="18"/>
                <w:szCs w:val="18"/>
              </w:rPr>
              <w:t>UNITA’ DI MISSIONE</w:t>
            </w:r>
            <w:r w:rsidR="000E7933">
              <w:rPr>
                <w:rFonts w:eastAsia="Arial Unicode MS"/>
                <w:b/>
                <w:bCs/>
                <w:iCs/>
                <w:sz w:val="18"/>
                <w:szCs w:val="18"/>
              </w:rPr>
              <w:t xml:space="preserve"> PER IL PNRR</w:t>
            </w:r>
          </w:p>
        </w:tc>
        <w:tc>
          <w:tcPr>
            <w:tcW w:w="6084" w:type="dxa"/>
            <w:gridSpan w:val="2"/>
          </w:tcPr>
          <w:p w14:paraId="445BB7FE" w14:textId="77777777" w:rsidR="006C5E40" w:rsidRPr="00BC3820" w:rsidRDefault="006C5E40" w:rsidP="000B65D4">
            <w:pPr>
              <w:widowControl/>
              <w:autoSpaceDE/>
              <w:autoSpaceDN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</w:pPr>
            <w:r w:rsidRPr="00BC3820">
              <w:rPr>
                <w:rFonts w:eastAsia="Arial Unicode MS"/>
                <w:b/>
                <w:bCs/>
                <w:iCs/>
                <w:color w:val="323E4F"/>
                <w:sz w:val="18"/>
                <w:szCs w:val="18"/>
              </w:rPr>
              <w:t>--------------------------------------------</w:t>
            </w:r>
          </w:p>
        </w:tc>
      </w:tr>
    </w:tbl>
    <w:p w14:paraId="240C6F20" w14:textId="77777777" w:rsidR="00FD02CC" w:rsidRDefault="00FD02CC" w:rsidP="00B2302B">
      <w:pPr>
        <w:spacing w:before="241"/>
        <w:outlineLvl w:val="0"/>
        <w:rPr>
          <w:b/>
          <w:bCs/>
          <w:color w:val="16355C"/>
          <w:sz w:val="28"/>
          <w:szCs w:val="28"/>
        </w:rPr>
      </w:pPr>
    </w:p>
    <w:p w14:paraId="10990AC5" w14:textId="237622E3" w:rsidR="00B2302B" w:rsidRPr="006C5E40" w:rsidRDefault="00B2302B" w:rsidP="00B2302B">
      <w:pPr>
        <w:spacing w:before="241"/>
        <w:outlineLvl w:val="0"/>
        <w:rPr>
          <w:b/>
          <w:bCs/>
          <w:color w:val="16355C"/>
          <w:sz w:val="24"/>
          <w:szCs w:val="24"/>
        </w:rPr>
      </w:pPr>
      <w:r w:rsidRPr="00B2302B">
        <w:rPr>
          <w:b/>
          <w:bCs/>
          <w:color w:val="16355C"/>
          <w:sz w:val="24"/>
          <w:szCs w:val="24"/>
        </w:rPr>
        <w:lastRenderedPageBreak/>
        <w:t xml:space="preserve">Priorità politiche </w:t>
      </w:r>
    </w:p>
    <w:p w14:paraId="027E6A52" w14:textId="77777777" w:rsidR="00B2302B" w:rsidRPr="00B2302B" w:rsidRDefault="00B2302B" w:rsidP="00B2302B">
      <w:pPr>
        <w:spacing w:before="241"/>
        <w:outlineLvl w:val="0"/>
        <w:rPr>
          <w:b/>
          <w:bCs/>
          <w:color w:val="16355C"/>
          <w:sz w:val="28"/>
          <w:szCs w:val="28"/>
        </w:rPr>
      </w:pPr>
    </w:p>
    <w:p w14:paraId="5A3ED4BF" w14:textId="3BEBA622" w:rsidR="00B2302B" w:rsidRPr="00B2302B" w:rsidRDefault="00B2302B" w:rsidP="00B2302B">
      <w:pPr>
        <w:widowControl/>
        <w:autoSpaceDE/>
        <w:autoSpaceDN/>
        <w:spacing w:before="200" w:after="160" w:line="259" w:lineRule="auto"/>
        <w:ind w:left="426" w:right="-1" w:firstLine="588"/>
        <w:contextualSpacing/>
        <w:jc w:val="both"/>
        <w:rPr>
          <w:rFonts w:eastAsia="Calibri"/>
        </w:rPr>
      </w:pPr>
      <w:r w:rsidRPr="00B2302B">
        <w:rPr>
          <w:rFonts w:eastAsia="Calibri"/>
        </w:rPr>
        <w:t xml:space="preserve">Con decreto ministeriale </w:t>
      </w:r>
      <w:r w:rsidR="00182B16" w:rsidRPr="00B2302B">
        <w:rPr>
          <w:rFonts w:eastAsia="Calibri"/>
        </w:rPr>
        <w:t xml:space="preserve">n. 271 </w:t>
      </w:r>
      <w:r w:rsidRPr="00B2302B">
        <w:rPr>
          <w:rFonts w:eastAsia="Calibri"/>
        </w:rPr>
        <w:t xml:space="preserve">del 4 marzo 2022, di adozione dell’Atto di indirizzo, sono state definite le priorità politiche dell’Amministrazione e le connesse aree di intervento per il triennio 2022 – 2024. </w:t>
      </w:r>
    </w:p>
    <w:p w14:paraId="37749188" w14:textId="77777777" w:rsidR="00B2302B" w:rsidRPr="00B2302B" w:rsidRDefault="00B2302B" w:rsidP="00B2302B">
      <w:pPr>
        <w:widowControl/>
        <w:autoSpaceDE/>
        <w:autoSpaceDN/>
        <w:spacing w:before="200" w:after="160" w:line="259" w:lineRule="auto"/>
        <w:ind w:left="426" w:right="-1" w:firstLine="294"/>
        <w:contextualSpacing/>
        <w:jc w:val="both"/>
        <w:rPr>
          <w:rFonts w:eastAsia="Calibri"/>
        </w:rPr>
      </w:pPr>
      <w:r w:rsidRPr="00B2302B">
        <w:rPr>
          <w:rFonts w:eastAsia="Calibri"/>
        </w:rPr>
        <w:t>Di seguito è riportato l’elenco delle priorità politiche dell’amministrazione esplicitate nel suddetto Atto:</w:t>
      </w:r>
    </w:p>
    <w:p w14:paraId="0DFFE8B3" w14:textId="77777777" w:rsidR="00B2302B" w:rsidRPr="00B2302B" w:rsidRDefault="00B2302B" w:rsidP="00B2302B">
      <w:pPr>
        <w:widowControl/>
        <w:numPr>
          <w:ilvl w:val="0"/>
          <w:numId w:val="1"/>
        </w:numPr>
        <w:autoSpaceDE/>
        <w:autoSpaceDN/>
        <w:spacing w:before="200" w:after="160" w:line="259" w:lineRule="auto"/>
        <w:ind w:right="-1"/>
        <w:contextualSpacing/>
        <w:jc w:val="both"/>
        <w:rPr>
          <w:rFonts w:eastAsia="Calibri"/>
        </w:rPr>
      </w:pPr>
      <w:r w:rsidRPr="00B2302B">
        <w:rPr>
          <w:rFonts w:eastAsia="Calibri"/>
        </w:rPr>
        <w:t xml:space="preserve">Attuare in modo efficiente ed efficace il Piano Nazionale di Ripresa e Resilienza; </w:t>
      </w:r>
    </w:p>
    <w:p w14:paraId="2D8EC9C9" w14:textId="77777777" w:rsidR="00B2302B" w:rsidRPr="00B2302B" w:rsidRDefault="00B2302B" w:rsidP="00B2302B">
      <w:pPr>
        <w:widowControl/>
        <w:numPr>
          <w:ilvl w:val="0"/>
          <w:numId w:val="1"/>
        </w:numPr>
        <w:autoSpaceDE/>
        <w:autoSpaceDN/>
        <w:spacing w:before="200" w:after="160" w:line="259" w:lineRule="auto"/>
        <w:ind w:right="-1"/>
        <w:contextualSpacing/>
        <w:jc w:val="both"/>
        <w:rPr>
          <w:rFonts w:eastAsia="Calibri"/>
        </w:rPr>
      </w:pPr>
      <w:r w:rsidRPr="00B2302B">
        <w:rPr>
          <w:rFonts w:eastAsia="Calibri"/>
        </w:rPr>
        <w:t>Promuovere lo sviluppo della ricerca investendo sul capitale umano e sul futuro: più giovani ricercatori e più attenzione alla carriera dei ricercatori;</w:t>
      </w:r>
    </w:p>
    <w:p w14:paraId="59DFE4AE" w14:textId="77777777" w:rsidR="00B2302B" w:rsidRPr="00B2302B" w:rsidRDefault="00B2302B" w:rsidP="00B2302B">
      <w:pPr>
        <w:widowControl/>
        <w:numPr>
          <w:ilvl w:val="0"/>
          <w:numId w:val="1"/>
        </w:numPr>
        <w:autoSpaceDE/>
        <w:autoSpaceDN/>
        <w:spacing w:before="200" w:after="160" w:line="259" w:lineRule="auto"/>
        <w:ind w:right="-1"/>
        <w:contextualSpacing/>
        <w:jc w:val="both"/>
        <w:rPr>
          <w:rFonts w:eastAsia="Calibri"/>
        </w:rPr>
      </w:pPr>
      <w:r w:rsidRPr="00B2302B">
        <w:rPr>
          <w:rFonts w:eastAsia="Calibri"/>
        </w:rPr>
        <w:t>Agevolare l’accesso alla formazione superiore e investire in conoscenza e formazione come fattori di sostegno e sviluppo per ridurre i divari sostenere la crescita delle aree svantaggiate;</w:t>
      </w:r>
    </w:p>
    <w:p w14:paraId="7D54DE0B" w14:textId="77777777" w:rsidR="00B2302B" w:rsidRPr="00B2302B" w:rsidRDefault="00B2302B" w:rsidP="00B2302B">
      <w:pPr>
        <w:widowControl/>
        <w:numPr>
          <w:ilvl w:val="0"/>
          <w:numId w:val="1"/>
        </w:numPr>
        <w:autoSpaceDE/>
        <w:autoSpaceDN/>
        <w:spacing w:before="200" w:after="160" w:line="259" w:lineRule="auto"/>
        <w:ind w:right="-1"/>
        <w:contextualSpacing/>
        <w:jc w:val="both"/>
        <w:rPr>
          <w:rFonts w:eastAsia="Calibri"/>
        </w:rPr>
      </w:pPr>
      <w:r w:rsidRPr="00B2302B">
        <w:rPr>
          <w:rFonts w:eastAsia="Calibri"/>
        </w:rPr>
        <w:t>Innovare il sistema della formazione superiore universitaria e promuovere la qualità del sistema universitario e la riduzione dei divari;</w:t>
      </w:r>
    </w:p>
    <w:p w14:paraId="3BD74F59" w14:textId="77777777" w:rsidR="00B2302B" w:rsidRPr="00B2302B" w:rsidRDefault="00B2302B" w:rsidP="00B2302B">
      <w:pPr>
        <w:widowControl/>
        <w:numPr>
          <w:ilvl w:val="0"/>
          <w:numId w:val="1"/>
        </w:numPr>
        <w:autoSpaceDE/>
        <w:autoSpaceDN/>
        <w:spacing w:before="200" w:after="160" w:line="259" w:lineRule="auto"/>
        <w:ind w:right="-1"/>
        <w:contextualSpacing/>
        <w:jc w:val="both"/>
        <w:rPr>
          <w:rFonts w:eastAsia="Calibri"/>
        </w:rPr>
      </w:pPr>
      <w:r w:rsidRPr="00B2302B">
        <w:rPr>
          <w:rFonts w:eastAsia="Calibri"/>
        </w:rPr>
        <w:t>Competere a livello globale nella ricerca;</w:t>
      </w:r>
    </w:p>
    <w:p w14:paraId="4E0BCCD8" w14:textId="77777777" w:rsidR="00B2302B" w:rsidRPr="00B2302B" w:rsidRDefault="00B2302B" w:rsidP="00B2302B">
      <w:pPr>
        <w:widowControl/>
        <w:numPr>
          <w:ilvl w:val="0"/>
          <w:numId w:val="1"/>
        </w:numPr>
        <w:autoSpaceDE/>
        <w:autoSpaceDN/>
        <w:spacing w:before="200" w:after="160" w:line="259" w:lineRule="auto"/>
        <w:ind w:right="-1"/>
        <w:contextualSpacing/>
        <w:jc w:val="both"/>
        <w:rPr>
          <w:rFonts w:eastAsia="Calibri"/>
        </w:rPr>
      </w:pPr>
      <w:r w:rsidRPr="00B2302B">
        <w:rPr>
          <w:rFonts w:eastAsia="Calibri"/>
        </w:rPr>
        <w:t>Dalla ricerca all’impresa;</w:t>
      </w:r>
    </w:p>
    <w:p w14:paraId="35BE4732" w14:textId="77777777" w:rsidR="00B2302B" w:rsidRPr="00B2302B" w:rsidRDefault="00B2302B" w:rsidP="00B2302B">
      <w:pPr>
        <w:widowControl/>
        <w:numPr>
          <w:ilvl w:val="0"/>
          <w:numId w:val="1"/>
        </w:numPr>
        <w:autoSpaceDE/>
        <w:autoSpaceDN/>
        <w:spacing w:before="200" w:after="160" w:line="259" w:lineRule="auto"/>
        <w:ind w:right="-1"/>
        <w:contextualSpacing/>
        <w:jc w:val="both"/>
        <w:rPr>
          <w:rFonts w:eastAsia="Calibri"/>
        </w:rPr>
      </w:pPr>
      <w:r w:rsidRPr="00B2302B">
        <w:rPr>
          <w:rFonts w:eastAsia="Calibri"/>
        </w:rPr>
        <w:t>Valorizzare l’alta formazione artistica, musicale e coreutica (AFAM);</w:t>
      </w:r>
    </w:p>
    <w:p w14:paraId="5FBE2300" w14:textId="77777777" w:rsidR="00B2302B" w:rsidRPr="00B2302B" w:rsidRDefault="00B2302B" w:rsidP="00B2302B">
      <w:pPr>
        <w:widowControl/>
        <w:numPr>
          <w:ilvl w:val="0"/>
          <w:numId w:val="1"/>
        </w:numPr>
        <w:autoSpaceDE/>
        <w:autoSpaceDN/>
        <w:spacing w:before="200" w:after="160" w:line="259" w:lineRule="auto"/>
        <w:ind w:right="-1"/>
        <w:contextualSpacing/>
        <w:jc w:val="both"/>
        <w:rPr>
          <w:rFonts w:eastAsia="Calibri"/>
        </w:rPr>
      </w:pPr>
      <w:r w:rsidRPr="00B2302B">
        <w:rPr>
          <w:rFonts w:eastAsia="Calibri"/>
        </w:rPr>
        <w:t>Costruire un sistema più semplice ed efficiente e sostenere la transizione digitale ed ecologica;</w:t>
      </w:r>
    </w:p>
    <w:p w14:paraId="1C51AF0A" w14:textId="77777777" w:rsidR="00B2302B" w:rsidRPr="00B2302B" w:rsidRDefault="00B2302B" w:rsidP="00B2302B">
      <w:pPr>
        <w:widowControl/>
        <w:numPr>
          <w:ilvl w:val="0"/>
          <w:numId w:val="1"/>
        </w:numPr>
        <w:autoSpaceDE/>
        <w:autoSpaceDN/>
        <w:spacing w:before="200" w:after="160" w:line="259" w:lineRule="auto"/>
        <w:ind w:right="-1"/>
        <w:contextualSpacing/>
        <w:jc w:val="both"/>
        <w:rPr>
          <w:rFonts w:eastAsia="Calibri"/>
        </w:rPr>
      </w:pPr>
      <w:r w:rsidRPr="00B2302B">
        <w:rPr>
          <w:rFonts w:eastAsia="Calibri"/>
        </w:rPr>
        <w:t>Essere protagonisti di una dimensione internazionale;</w:t>
      </w:r>
    </w:p>
    <w:p w14:paraId="260FB29F" w14:textId="3DDF68D9" w:rsidR="00B2302B" w:rsidRPr="006C5E40" w:rsidRDefault="00B2302B" w:rsidP="006C5E40">
      <w:pPr>
        <w:widowControl/>
        <w:numPr>
          <w:ilvl w:val="0"/>
          <w:numId w:val="1"/>
        </w:numPr>
        <w:autoSpaceDE/>
        <w:autoSpaceDN/>
        <w:spacing w:before="200" w:after="160" w:line="259" w:lineRule="auto"/>
        <w:ind w:right="-1"/>
        <w:contextualSpacing/>
        <w:jc w:val="both"/>
        <w:rPr>
          <w:rFonts w:eastAsia="Calibri"/>
        </w:rPr>
      </w:pPr>
      <w:r w:rsidRPr="00B2302B">
        <w:rPr>
          <w:bCs/>
          <w:lang w:eastAsia="it-IT"/>
        </w:rPr>
        <w:t>Consolidare l’organizzazione del Ministero e migliorare il funzionamento amministrativo e gestionale.</w:t>
      </w:r>
    </w:p>
    <w:p w14:paraId="3EC62F4A" w14:textId="77777777" w:rsidR="006C5E40" w:rsidRPr="00B2302B" w:rsidRDefault="006C5E40" w:rsidP="006C5E40">
      <w:pPr>
        <w:widowControl/>
        <w:autoSpaceDE/>
        <w:autoSpaceDN/>
        <w:spacing w:before="200" w:after="160" w:line="259" w:lineRule="auto"/>
        <w:ind w:left="1080" w:right="-1"/>
        <w:contextualSpacing/>
        <w:jc w:val="both"/>
        <w:rPr>
          <w:rFonts w:eastAsia="Calibri"/>
        </w:rPr>
      </w:pPr>
    </w:p>
    <w:p w14:paraId="7A0C207A" w14:textId="70B01E2F" w:rsidR="006C5E40" w:rsidRDefault="00B2302B" w:rsidP="009A46EF">
      <w:pPr>
        <w:spacing w:before="241"/>
        <w:outlineLvl w:val="0"/>
        <w:rPr>
          <w:b/>
          <w:bCs/>
          <w:color w:val="16355C"/>
          <w:sz w:val="24"/>
          <w:szCs w:val="24"/>
        </w:rPr>
      </w:pPr>
      <w:r w:rsidRPr="00B2302B">
        <w:rPr>
          <w:b/>
          <w:bCs/>
          <w:color w:val="16355C"/>
          <w:sz w:val="24"/>
          <w:szCs w:val="24"/>
        </w:rPr>
        <w:t>Obiettivi e schede per centri di responsabilità (CdR)</w:t>
      </w:r>
    </w:p>
    <w:p w14:paraId="2F82F39A" w14:textId="77777777" w:rsidR="009353FB" w:rsidRPr="00B2302B" w:rsidRDefault="009353FB" w:rsidP="009A46EF">
      <w:pPr>
        <w:spacing w:before="241"/>
        <w:outlineLvl w:val="0"/>
        <w:rPr>
          <w:b/>
          <w:bCs/>
          <w:color w:val="16355C"/>
          <w:sz w:val="24"/>
          <w:szCs w:val="24"/>
        </w:rPr>
      </w:pPr>
    </w:p>
    <w:p w14:paraId="2DC518EF" w14:textId="2E544F30" w:rsidR="00B2302B" w:rsidRPr="00B2302B" w:rsidRDefault="00B2302B" w:rsidP="00B2302B">
      <w:pPr>
        <w:widowControl/>
        <w:autoSpaceDE/>
        <w:autoSpaceDN/>
        <w:spacing w:before="200" w:after="160" w:line="259" w:lineRule="auto"/>
        <w:ind w:left="426" w:right="-1" w:firstLine="588"/>
        <w:contextualSpacing/>
        <w:jc w:val="both"/>
        <w:rPr>
          <w:rFonts w:eastAsia="Calibri"/>
        </w:rPr>
      </w:pPr>
      <w:r w:rsidRPr="00B2302B">
        <w:rPr>
          <w:rFonts w:eastAsia="Calibri"/>
        </w:rPr>
        <w:t>Al fine di attuare le priorità politiche sopra enunciate, l’azione del Ministero per il triennio 2022-2024</w:t>
      </w:r>
      <w:r w:rsidR="000632C7">
        <w:rPr>
          <w:rFonts w:eastAsia="Calibri"/>
        </w:rPr>
        <w:t xml:space="preserve">, </w:t>
      </w:r>
      <w:r w:rsidRPr="00B2302B">
        <w:rPr>
          <w:rFonts w:eastAsia="Calibri"/>
        </w:rPr>
        <w:t xml:space="preserve">sarà improntata al conseguimento di obiettivi annuali individuati per CdR. </w:t>
      </w:r>
    </w:p>
    <w:p w14:paraId="7D5A4357" w14:textId="705B85AD" w:rsidR="00B2302B" w:rsidRPr="00B2302B" w:rsidRDefault="00B2302B" w:rsidP="00B2302B">
      <w:pPr>
        <w:widowControl/>
        <w:autoSpaceDE/>
        <w:autoSpaceDN/>
        <w:spacing w:before="200" w:after="160" w:line="259" w:lineRule="auto"/>
        <w:ind w:left="426" w:right="-1" w:firstLine="588"/>
        <w:contextualSpacing/>
        <w:jc w:val="both"/>
        <w:rPr>
          <w:rFonts w:eastAsia="Calibri"/>
        </w:rPr>
      </w:pPr>
      <w:r w:rsidRPr="00B2302B">
        <w:rPr>
          <w:rFonts w:eastAsia="Calibri"/>
        </w:rPr>
        <w:t xml:space="preserve">La programmazione degli obiettivi annuali del MUR è collegata agli obiettivi specifici che l’Amministrazione intende perseguire nel triennio pianificato e negli anni di riferimento in coerenza con quanto previsto nel Sistema di misurazione e valutazione della </w:t>
      </w:r>
      <w:r w:rsidRPr="00B2302B">
        <w:rPr>
          <w:rFonts w:eastAsia="Calibri"/>
          <w:i/>
        </w:rPr>
        <w:t xml:space="preserve">performance </w:t>
      </w:r>
      <w:r w:rsidRPr="00B2302B">
        <w:rPr>
          <w:rFonts w:eastAsia="Calibri"/>
          <w:iCs/>
        </w:rPr>
        <w:t>(SMV</w:t>
      </w:r>
      <w:r w:rsidR="000E7933">
        <w:rPr>
          <w:rFonts w:eastAsia="Calibri"/>
          <w:iCs/>
        </w:rPr>
        <w:t>P</w:t>
      </w:r>
      <w:r w:rsidRPr="00B2302B">
        <w:rPr>
          <w:rFonts w:eastAsia="Calibri"/>
          <w:i/>
        </w:rPr>
        <w:t>)</w:t>
      </w:r>
      <w:r w:rsidRPr="00B2302B">
        <w:rPr>
          <w:rFonts w:eastAsia="Calibri"/>
        </w:rPr>
        <w:t xml:space="preserve">, adottato con decreto ministeriale 24 giugno 2021, n. 728. </w:t>
      </w:r>
    </w:p>
    <w:p w14:paraId="0AD65B7E" w14:textId="0AC76381" w:rsidR="00B2302B" w:rsidRPr="00B2302B" w:rsidRDefault="00B2302B" w:rsidP="00B2302B">
      <w:pPr>
        <w:widowControl/>
        <w:autoSpaceDE/>
        <w:autoSpaceDN/>
        <w:spacing w:before="200" w:after="160" w:line="259" w:lineRule="auto"/>
        <w:ind w:left="426" w:right="-1" w:firstLine="588"/>
        <w:contextualSpacing/>
        <w:jc w:val="both"/>
        <w:rPr>
          <w:rFonts w:eastAsia="Calibri"/>
          <w:sz w:val="24"/>
          <w:szCs w:val="24"/>
        </w:rPr>
      </w:pPr>
      <w:r w:rsidRPr="00B2302B">
        <w:rPr>
          <w:rFonts w:eastAsia="Calibri"/>
        </w:rPr>
        <w:t>Il SMV</w:t>
      </w:r>
      <w:r w:rsidR="000E7933">
        <w:rPr>
          <w:rFonts w:eastAsia="Calibri"/>
        </w:rPr>
        <w:t>P</w:t>
      </w:r>
      <w:r w:rsidRPr="00B2302B">
        <w:rPr>
          <w:rFonts w:eastAsia="Calibri"/>
        </w:rPr>
        <w:t xml:space="preserve"> 2021, che si conforma alla normativa vigente e alle Linee guida del Dipartimento della Funzione Pubblica (nn. 1/2017, 2/2017, 3/2018, 4/2019, 5/2019), individua nel dettaglio le fasi, i soggetti, le responsabilità, le modalità e i tempi della gestione della </w:t>
      </w:r>
      <w:r w:rsidRPr="00B2302B">
        <w:rPr>
          <w:rFonts w:eastAsia="Calibri"/>
          <w:i/>
          <w:iCs/>
        </w:rPr>
        <w:t>performance</w:t>
      </w:r>
      <w:r w:rsidRPr="00B2302B">
        <w:rPr>
          <w:rFonts w:eastAsia="Calibri"/>
          <w:sz w:val="24"/>
          <w:szCs w:val="24"/>
        </w:rPr>
        <w:t xml:space="preserve"> </w:t>
      </w:r>
      <w:r w:rsidRPr="00D93115">
        <w:rPr>
          <w:rFonts w:eastAsia="Calibri"/>
        </w:rPr>
        <w:t>organizzativa e individuale, il raccordo con il ciclo di programmazione economico finanziaria e le procedure di conciliazione</w:t>
      </w:r>
      <w:r w:rsidRPr="00B2302B">
        <w:rPr>
          <w:rFonts w:eastAsia="Calibri"/>
          <w:sz w:val="24"/>
          <w:szCs w:val="24"/>
        </w:rPr>
        <w:t xml:space="preserve">. </w:t>
      </w:r>
    </w:p>
    <w:p w14:paraId="4D89042A" w14:textId="0409B25C" w:rsidR="00B2302B" w:rsidRDefault="00B2302B" w:rsidP="00B2302B">
      <w:pPr>
        <w:widowControl/>
        <w:autoSpaceDE/>
        <w:autoSpaceDN/>
        <w:spacing w:before="200" w:after="160" w:line="259" w:lineRule="auto"/>
        <w:ind w:left="426" w:right="-1" w:firstLine="588"/>
        <w:contextualSpacing/>
        <w:jc w:val="both"/>
        <w:rPr>
          <w:rFonts w:eastAsia="Calibri"/>
          <w:sz w:val="24"/>
          <w:szCs w:val="24"/>
        </w:rPr>
      </w:pPr>
    </w:p>
    <w:p w14:paraId="030C2FAB" w14:textId="6266D283" w:rsidR="000B65D4" w:rsidRPr="00D93115" w:rsidRDefault="000B65D4" w:rsidP="000B65D4">
      <w:pPr>
        <w:widowControl/>
        <w:autoSpaceDE/>
        <w:autoSpaceDN/>
        <w:spacing w:line="360" w:lineRule="auto"/>
        <w:ind w:left="284" w:firstLine="142"/>
        <w:contextualSpacing/>
        <w:jc w:val="both"/>
        <w:rPr>
          <w:rFonts w:eastAsia="Calibri"/>
        </w:rPr>
      </w:pPr>
      <w:r w:rsidRPr="00D93115">
        <w:rPr>
          <w:rFonts w:eastAsia="Calibri"/>
        </w:rPr>
        <w:t xml:space="preserve">Tab.1. Ufficio di Gabinetto </w:t>
      </w:r>
      <w:r w:rsidR="001D1FAB">
        <w:rPr>
          <w:rFonts w:eastAsia="Calibri"/>
        </w:rPr>
        <w:t>– Incarico dirigenziale di livello generale</w:t>
      </w:r>
      <w:r w:rsidRPr="00D93115">
        <w:rPr>
          <w:rFonts w:eastAsia="Calibri"/>
        </w:rPr>
        <w:t xml:space="preserve"> </w:t>
      </w:r>
    </w:p>
    <w:p w14:paraId="1C719940" w14:textId="3DA48D33" w:rsidR="00B2302B" w:rsidRPr="00D93115" w:rsidRDefault="00B2302B" w:rsidP="006C5E40">
      <w:pPr>
        <w:widowControl/>
        <w:autoSpaceDE/>
        <w:autoSpaceDN/>
        <w:spacing w:line="360" w:lineRule="auto"/>
        <w:ind w:left="284" w:firstLine="142"/>
        <w:contextualSpacing/>
        <w:jc w:val="both"/>
        <w:rPr>
          <w:rFonts w:eastAsia="Calibri"/>
        </w:rPr>
      </w:pPr>
      <w:r w:rsidRPr="00D93115">
        <w:rPr>
          <w:rFonts w:eastAsia="Calibri"/>
        </w:rPr>
        <w:t>Tab.</w:t>
      </w:r>
      <w:r w:rsidR="00302690" w:rsidRPr="00D93115">
        <w:rPr>
          <w:rFonts w:eastAsia="Calibri"/>
        </w:rPr>
        <w:t>2</w:t>
      </w:r>
      <w:r w:rsidRPr="00D93115">
        <w:rPr>
          <w:rFonts w:eastAsia="Calibri"/>
        </w:rPr>
        <w:t xml:space="preserve"> Segretariato Generale </w:t>
      </w:r>
    </w:p>
    <w:p w14:paraId="4D10E57F" w14:textId="6E065870" w:rsidR="00B2302B" w:rsidRPr="00D93115" w:rsidRDefault="00B2302B" w:rsidP="006C5E40">
      <w:pPr>
        <w:widowControl/>
        <w:autoSpaceDE/>
        <w:autoSpaceDN/>
        <w:spacing w:line="360" w:lineRule="auto"/>
        <w:ind w:left="284" w:firstLine="142"/>
        <w:contextualSpacing/>
        <w:jc w:val="both"/>
        <w:rPr>
          <w:rFonts w:eastAsia="Calibri"/>
        </w:rPr>
      </w:pPr>
      <w:r w:rsidRPr="00D93115">
        <w:rPr>
          <w:rFonts w:eastAsia="Calibri"/>
        </w:rPr>
        <w:t xml:space="preserve">Tab. </w:t>
      </w:r>
      <w:r w:rsidR="0050734C" w:rsidRPr="00D93115">
        <w:rPr>
          <w:rFonts w:eastAsia="Calibri"/>
        </w:rPr>
        <w:t>3</w:t>
      </w:r>
      <w:r w:rsidRPr="00D93115">
        <w:rPr>
          <w:rFonts w:eastAsia="Calibri"/>
        </w:rPr>
        <w:t xml:space="preserve"> Direzione Generale delle istituzioni della formazione superiore </w:t>
      </w:r>
    </w:p>
    <w:p w14:paraId="1C410A49" w14:textId="1AA97C52" w:rsidR="00B2302B" w:rsidRPr="00D93115" w:rsidRDefault="00B2302B" w:rsidP="006C5E40">
      <w:pPr>
        <w:widowControl/>
        <w:autoSpaceDE/>
        <w:autoSpaceDN/>
        <w:spacing w:line="360" w:lineRule="auto"/>
        <w:ind w:left="284" w:firstLine="142"/>
        <w:contextualSpacing/>
        <w:jc w:val="both"/>
        <w:rPr>
          <w:rFonts w:eastAsia="Calibri"/>
        </w:rPr>
      </w:pPr>
      <w:r w:rsidRPr="00D93115">
        <w:rPr>
          <w:rFonts w:eastAsia="Calibri"/>
        </w:rPr>
        <w:t xml:space="preserve">Tab. </w:t>
      </w:r>
      <w:r w:rsidR="0050734C" w:rsidRPr="00D93115">
        <w:rPr>
          <w:rFonts w:eastAsia="Calibri"/>
        </w:rPr>
        <w:t>4</w:t>
      </w:r>
      <w:r w:rsidRPr="00D93115">
        <w:rPr>
          <w:rFonts w:eastAsia="Calibri"/>
        </w:rPr>
        <w:t xml:space="preserve"> Direzione Generale degli ordinamenti e della formazione superiore e del diritto allo studio </w:t>
      </w:r>
    </w:p>
    <w:p w14:paraId="2B75CBFF" w14:textId="3C152A5A" w:rsidR="00B2302B" w:rsidRPr="00D93115" w:rsidRDefault="00B2302B" w:rsidP="006C5E40">
      <w:pPr>
        <w:widowControl/>
        <w:autoSpaceDE/>
        <w:autoSpaceDN/>
        <w:spacing w:line="360" w:lineRule="auto"/>
        <w:ind w:left="284" w:firstLine="142"/>
        <w:contextualSpacing/>
        <w:jc w:val="both"/>
        <w:rPr>
          <w:rFonts w:eastAsia="Calibri"/>
        </w:rPr>
      </w:pPr>
      <w:r w:rsidRPr="00D93115">
        <w:rPr>
          <w:rFonts w:eastAsia="Calibri"/>
        </w:rPr>
        <w:t xml:space="preserve">Tab. </w:t>
      </w:r>
      <w:r w:rsidR="0050734C" w:rsidRPr="00D93115">
        <w:rPr>
          <w:rFonts w:eastAsia="Calibri"/>
        </w:rPr>
        <w:t>5</w:t>
      </w:r>
      <w:r w:rsidRPr="00D93115">
        <w:rPr>
          <w:rFonts w:eastAsia="Calibri"/>
        </w:rPr>
        <w:t xml:space="preserve"> Direzione Generale della ricerca</w:t>
      </w:r>
    </w:p>
    <w:p w14:paraId="611FCD4D" w14:textId="5850A392" w:rsidR="00B2302B" w:rsidRPr="00D93115" w:rsidRDefault="00B2302B" w:rsidP="006C5E40">
      <w:pPr>
        <w:widowControl/>
        <w:autoSpaceDE/>
        <w:autoSpaceDN/>
        <w:spacing w:line="360" w:lineRule="auto"/>
        <w:ind w:left="284" w:firstLine="142"/>
        <w:contextualSpacing/>
        <w:jc w:val="both"/>
        <w:rPr>
          <w:rFonts w:eastAsia="Calibri"/>
        </w:rPr>
      </w:pPr>
      <w:r w:rsidRPr="00D93115">
        <w:rPr>
          <w:rFonts w:eastAsia="Calibri"/>
        </w:rPr>
        <w:t>Tab.</w:t>
      </w:r>
      <w:r w:rsidR="0050734C" w:rsidRPr="00D93115">
        <w:rPr>
          <w:rFonts w:eastAsia="Calibri"/>
        </w:rPr>
        <w:t xml:space="preserve"> 6</w:t>
      </w:r>
      <w:r w:rsidRPr="00D93115">
        <w:rPr>
          <w:rFonts w:eastAsia="Calibri"/>
        </w:rPr>
        <w:t xml:space="preserve"> </w:t>
      </w:r>
      <w:bookmarkStart w:id="1" w:name="_Hlk109820135"/>
      <w:r w:rsidRPr="00D93115">
        <w:rPr>
          <w:rFonts w:eastAsia="Calibri"/>
        </w:rPr>
        <w:t xml:space="preserve">Direzione Generale </w:t>
      </w:r>
      <w:bookmarkEnd w:id="1"/>
      <w:r w:rsidRPr="00D93115">
        <w:rPr>
          <w:rFonts w:eastAsia="Calibri"/>
        </w:rPr>
        <w:t xml:space="preserve">dell’internazionalizzazione e della comunicazione </w:t>
      </w:r>
    </w:p>
    <w:p w14:paraId="0DE7AD28" w14:textId="1F816333" w:rsidR="00FD02CC" w:rsidRPr="00D93115" w:rsidRDefault="00B2302B" w:rsidP="00FD02CC">
      <w:pPr>
        <w:widowControl/>
        <w:autoSpaceDE/>
        <w:autoSpaceDN/>
        <w:spacing w:line="360" w:lineRule="auto"/>
        <w:ind w:left="284" w:firstLine="142"/>
        <w:contextualSpacing/>
        <w:jc w:val="both"/>
        <w:rPr>
          <w:rFonts w:eastAsia="Calibri"/>
          <w:b/>
          <w:bCs/>
        </w:rPr>
      </w:pPr>
      <w:r w:rsidRPr="00D93115">
        <w:rPr>
          <w:rFonts w:eastAsia="Calibri"/>
        </w:rPr>
        <w:t xml:space="preserve">Tab. </w:t>
      </w:r>
      <w:r w:rsidR="0050734C" w:rsidRPr="00D93115">
        <w:rPr>
          <w:rFonts w:eastAsia="Calibri"/>
        </w:rPr>
        <w:t>7</w:t>
      </w:r>
      <w:r w:rsidRPr="00D93115">
        <w:rPr>
          <w:rFonts w:eastAsia="Calibri"/>
        </w:rPr>
        <w:t xml:space="preserve"> Direzione Generale del personale del bilancio e dei servizi strumentali </w:t>
      </w:r>
    </w:p>
    <w:p w14:paraId="70F27E9C" w14:textId="25EC3115" w:rsidR="006C5E40" w:rsidRDefault="00B2302B" w:rsidP="000E7933">
      <w:pPr>
        <w:widowControl/>
        <w:autoSpaceDE/>
        <w:autoSpaceDN/>
        <w:spacing w:line="360" w:lineRule="auto"/>
        <w:ind w:left="284" w:firstLine="142"/>
        <w:contextualSpacing/>
        <w:jc w:val="both"/>
        <w:rPr>
          <w:rFonts w:eastAsia="Calibri"/>
        </w:rPr>
      </w:pPr>
      <w:r w:rsidRPr="00D93115">
        <w:rPr>
          <w:rFonts w:eastAsia="Calibri"/>
        </w:rPr>
        <w:t>Tab.</w:t>
      </w:r>
      <w:r w:rsidR="0050734C" w:rsidRPr="00D93115">
        <w:rPr>
          <w:rFonts w:eastAsia="Calibri"/>
        </w:rPr>
        <w:t xml:space="preserve"> 8</w:t>
      </w:r>
      <w:r w:rsidRPr="00D93115">
        <w:rPr>
          <w:rFonts w:eastAsia="Calibri"/>
        </w:rPr>
        <w:t xml:space="preserve"> Direzione Generale Unità di Missione PNRR</w:t>
      </w:r>
    </w:p>
    <w:p w14:paraId="57ABC7C3" w14:textId="25C0B5D3" w:rsidR="00EF2948" w:rsidRPr="00C90F57" w:rsidRDefault="00EF2948" w:rsidP="00C90F57">
      <w:pPr>
        <w:rPr>
          <w:rFonts w:eastAsia="Calibri"/>
          <w:sz w:val="24"/>
          <w:szCs w:val="24"/>
        </w:rPr>
        <w:sectPr w:rsidR="00EF2948" w:rsidRPr="00C90F57" w:rsidSect="00FD02CC">
          <w:footerReference w:type="default" r:id="rId7"/>
          <w:pgSz w:w="11906" w:h="16838"/>
          <w:pgMar w:top="1985" w:right="1134" w:bottom="993" w:left="1134" w:header="0" w:footer="708" w:gutter="0"/>
          <w:cols w:space="708"/>
          <w:docGrid w:linePitch="360"/>
        </w:sectPr>
      </w:pPr>
    </w:p>
    <w:p w14:paraId="5BD2BC8D" w14:textId="77777777" w:rsidR="00401BB1" w:rsidRPr="00E13F69" w:rsidRDefault="00401BB1" w:rsidP="00DE2871">
      <w:pPr>
        <w:tabs>
          <w:tab w:val="left" w:pos="6885"/>
        </w:tabs>
        <w:rPr>
          <w:rFonts w:eastAsia="Calibri"/>
          <w:sz w:val="16"/>
          <w:szCs w:val="16"/>
        </w:rPr>
      </w:pPr>
    </w:p>
    <w:sectPr w:rsidR="00401BB1" w:rsidRPr="00E13F69" w:rsidSect="00596E23">
      <w:pgSz w:w="16838" w:h="11906" w:orient="landscape"/>
      <w:pgMar w:top="2410" w:right="1134" w:bottom="212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08B13" w14:textId="77777777" w:rsidR="00A11D20" w:rsidRDefault="00A11D20" w:rsidP="00125738">
      <w:r>
        <w:separator/>
      </w:r>
    </w:p>
  </w:endnote>
  <w:endnote w:type="continuationSeparator" w:id="0">
    <w:p w14:paraId="0502D551" w14:textId="77777777" w:rsidR="00A11D20" w:rsidRDefault="00A11D20" w:rsidP="00125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7975269"/>
      <w:docPartObj>
        <w:docPartGallery w:val="Page Numbers (Bottom of Page)"/>
        <w:docPartUnique/>
      </w:docPartObj>
    </w:sdtPr>
    <w:sdtEndPr/>
    <w:sdtContent>
      <w:p w14:paraId="55768EAE" w14:textId="50F08B0B" w:rsidR="00A3117B" w:rsidRDefault="00A3117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31C290" w14:textId="77777777" w:rsidR="00A3117B" w:rsidRDefault="00A3117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BA567" w14:textId="77777777" w:rsidR="00A11D20" w:rsidRDefault="00A11D20" w:rsidP="00125738">
      <w:bookmarkStart w:id="0" w:name="_Hlk110346044"/>
      <w:bookmarkEnd w:id="0"/>
      <w:r>
        <w:separator/>
      </w:r>
    </w:p>
  </w:footnote>
  <w:footnote w:type="continuationSeparator" w:id="0">
    <w:p w14:paraId="29C945EE" w14:textId="77777777" w:rsidR="00A11D20" w:rsidRDefault="00A11D20" w:rsidP="001257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5CD7"/>
    <w:multiLevelType w:val="hybridMultilevel"/>
    <w:tmpl w:val="EE969A16"/>
    <w:lvl w:ilvl="0" w:tplc="635E7E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A4C"/>
    <w:rsid w:val="00000191"/>
    <w:rsid w:val="000632C7"/>
    <w:rsid w:val="00085F31"/>
    <w:rsid w:val="000A69C7"/>
    <w:rsid w:val="000B257B"/>
    <w:rsid w:val="000B65D4"/>
    <w:rsid w:val="000D0562"/>
    <w:rsid w:val="000E7933"/>
    <w:rsid w:val="00101CCC"/>
    <w:rsid w:val="001136B4"/>
    <w:rsid w:val="00125738"/>
    <w:rsid w:val="00167155"/>
    <w:rsid w:val="00182B16"/>
    <w:rsid w:val="001B674D"/>
    <w:rsid w:val="001B709B"/>
    <w:rsid w:val="001D1FAB"/>
    <w:rsid w:val="002637FC"/>
    <w:rsid w:val="00275FC0"/>
    <w:rsid w:val="0028082A"/>
    <w:rsid w:val="002E1270"/>
    <w:rsid w:val="00302690"/>
    <w:rsid w:val="00373402"/>
    <w:rsid w:val="00394A8A"/>
    <w:rsid w:val="003B77CA"/>
    <w:rsid w:val="00401BB1"/>
    <w:rsid w:val="004775D5"/>
    <w:rsid w:val="0050734C"/>
    <w:rsid w:val="00533A4C"/>
    <w:rsid w:val="00544EAF"/>
    <w:rsid w:val="00596E23"/>
    <w:rsid w:val="005A0E4E"/>
    <w:rsid w:val="005A499D"/>
    <w:rsid w:val="005D4617"/>
    <w:rsid w:val="005E09BF"/>
    <w:rsid w:val="00640E56"/>
    <w:rsid w:val="00665017"/>
    <w:rsid w:val="006C5E40"/>
    <w:rsid w:val="006E5961"/>
    <w:rsid w:val="0070449A"/>
    <w:rsid w:val="00740375"/>
    <w:rsid w:val="0074782E"/>
    <w:rsid w:val="00793853"/>
    <w:rsid w:val="007C3EF0"/>
    <w:rsid w:val="007F2BF7"/>
    <w:rsid w:val="008745D9"/>
    <w:rsid w:val="0087525B"/>
    <w:rsid w:val="008C19F6"/>
    <w:rsid w:val="008D37B4"/>
    <w:rsid w:val="008E6514"/>
    <w:rsid w:val="009353FB"/>
    <w:rsid w:val="009520A8"/>
    <w:rsid w:val="009A46EF"/>
    <w:rsid w:val="009D0637"/>
    <w:rsid w:val="00A11D20"/>
    <w:rsid w:val="00A20BD4"/>
    <w:rsid w:val="00A3117B"/>
    <w:rsid w:val="00A70899"/>
    <w:rsid w:val="00A9416A"/>
    <w:rsid w:val="00AB0EAE"/>
    <w:rsid w:val="00AC68B7"/>
    <w:rsid w:val="00B07F45"/>
    <w:rsid w:val="00B2302B"/>
    <w:rsid w:val="00B30FCA"/>
    <w:rsid w:val="00B37198"/>
    <w:rsid w:val="00B46E88"/>
    <w:rsid w:val="00BC3820"/>
    <w:rsid w:val="00BC3AD3"/>
    <w:rsid w:val="00BF3362"/>
    <w:rsid w:val="00C46321"/>
    <w:rsid w:val="00C9080B"/>
    <w:rsid w:val="00C90F57"/>
    <w:rsid w:val="00C92165"/>
    <w:rsid w:val="00C96AFC"/>
    <w:rsid w:val="00CC2BB5"/>
    <w:rsid w:val="00CE5324"/>
    <w:rsid w:val="00D72ABF"/>
    <w:rsid w:val="00D93115"/>
    <w:rsid w:val="00D93C03"/>
    <w:rsid w:val="00DE2871"/>
    <w:rsid w:val="00DE4229"/>
    <w:rsid w:val="00DF10AD"/>
    <w:rsid w:val="00E13F69"/>
    <w:rsid w:val="00E148C9"/>
    <w:rsid w:val="00E401DE"/>
    <w:rsid w:val="00E63487"/>
    <w:rsid w:val="00E67056"/>
    <w:rsid w:val="00E7320F"/>
    <w:rsid w:val="00ED0AC1"/>
    <w:rsid w:val="00ED78FB"/>
    <w:rsid w:val="00EF2948"/>
    <w:rsid w:val="00EF5918"/>
    <w:rsid w:val="00F70C5F"/>
    <w:rsid w:val="00F74F4C"/>
    <w:rsid w:val="00F774B3"/>
    <w:rsid w:val="00FD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A80F8"/>
  <w15:chartTrackingRefBased/>
  <w15:docId w15:val="{2EE2A3F1-1811-4844-B7A0-879362864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19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40E5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257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5738"/>
  </w:style>
  <w:style w:type="paragraph" w:styleId="Pidipagina">
    <w:name w:val="footer"/>
    <w:basedOn w:val="Normale"/>
    <w:link w:val="PidipaginaCarattere"/>
    <w:uiPriority w:val="99"/>
    <w:unhideWhenUsed/>
    <w:rsid w:val="0012573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5738"/>
  </w:style>
  <w:style w:type="table" w:customStyle="1" w:styleId="Tabellagriglia5scura-colore51">
    <w:name w:val="Tabella griglia 5 scura - colore 51"/>
    <w:basedOn w:val="Tabellanormale"/>
    <w:next w:val="Tabellagriglia5scura-colore5"/>
    <w:uiPriority w:val="50"/>
    <w:rsid w:val="00B2302B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styleId="Tabellagriglia5scura-colore5">
    <w:name w:val="Grid Table 5 Dark Accent 5"/>
    <w:basedOn w:val="Tabellanormale"/>
    <w:uiPriority w:val="50"/>
    <w:rsid w:val="00B2302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customStyle="1" w:styleId="Tabellagriglia4-colore51">
    <w:name w:val="Tabella griglia 4 - colore 51"/>
    <w:basedOn w:val="Tabellanormale"/>
    <w:next w:val="Tabellagriglia4-colore5"/>
    <w:uiPriority w:val="49"/>
    <w:rsid w:val="00B30FCA"/>
    <w:pPr>
      <w:spacing w:after="0" w:line="240" w:lineRule="auto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ellagriglia4-colore5">
    <w:name w:val="Grid Table 4 Accent 5"/>
    <w:basedOn w:val="Tabellanormale"/>
    <w:uiPriority w:val="49"/>
    <w:rsid w:val="00B30FC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ellagriglia5scura-colore62">
    <w:name w:val="Tabella griglia 5 scura - colore 62"/>
    <w:basedOn w:val="Tabellanormale"/>
    <w:next w:val="Tabellagriglia5scura-colore6"/>
    <w:uiPriority w:val="50"/>
    <w:rsid w:val="00F74F4C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styleId="Tabellagriglia5scura-colore6">
    <w:name w:val="Grid Table 5 Dark Accent 6"/>
    <w:basedOn w:val="Tabellanormale"/>
    <w:uiPriority w:val="50"/>
    <w:rsid w:val="00F74F4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Tabellagriglia5scura-colore41">
    <w:name w:val="Tabella griglia 5 scura - colore 41"/>
    <w:basedOn w:val="Tabellanormale"/>
    <w:next w:val="Tabellagriglia5scura-colore4"/>
    <w:uiPriority w:val="50"/>
    <w:rsid w:val="00E13F69"/>
    <w:pPr>
      <w:spacing w:after="0" w:line="240" w:lineRule="auto"/>
    </w:p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5DFE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8064A2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8064A2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8064A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CCC0D9"/>
      </w:tcPr>
    </w:tblStylePr>
  </w:style>
  <w:style w:type="table" w:styleId="Tabellagriglia5scura-colore4">
    <w:name w:val="Grid Table 5 Dark Accent 4"/>
    <w:basedOn w:val="Tabellanormale"/>
    <w:uiPriority w:val="50"/>
    <w:rsid w:val="00E13F6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character" w:styleId="Rimandocommento">
    <w:name w:val="annotation reference"/>
    <w:basedOn w:val="Carpredefinitoparagrafo"/>
    <w:uiPriority w:val="99"/>
    <w:semiHidden/>
    <w:unhideWhenUsed/>
    <w:rsid w:val="00B07F4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07F4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07F45"/>
    <w:rPr>
      <w:rFonts w:ascii="Times New Roman" w:eastAsia="Times New Roman" w:hAnsi="Times New Roman" w:cs="Times New Roman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07F4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07F45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ellagriglia5scura-colore3">
    <w:name w:val="Grid Table 5 Dark Accent 3"/>
    <w:basedOn w:val="Tabellanormale"/>
    <w:uiPriority w:val="50"/>
    <w:rsid w:val="00E7320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Tabellagriglia5scura-colore21">
    <w:name w:val="Tabella griglia 5 scura - colore 21"/>
    <w:basedOn w:val="Tabellanormale"/>
    <w:next w:val="Tabellagriglia5scura-colore2"/>
    <w:uiPriority w:val="50"/>
    <w:rsid w:val="0037340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abellagriglia5scura-colore2">
    <w:name w:val="Grid Table 5 Dark Accent 2"/>
    <w:basedOn w:val="Tabellanormale"/>
    <w:uiPriority w:val="50"/>
    <w:rsid w:val="0037340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paragraph" w:styleId="Corpotesto">
    <w:name w:val="Body Text"/>
    <w:basedOn w:val="Normale"/>
    <w:link w:val="CorpotestoCarattere"/>
    <w:uiPriority w:val="99"/>
    <w:semiHidden/>
    <w:unhideWhenUsed/>
    <w:rsid w:val="005A499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A499D"/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40E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1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1285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 Fiego Elena</dc:creator>
  <cp:keywords/>
  <dc:description/>
  <cp:lastModifiedBy>Cocco Cinzia</cp:lastModifiedBy>
  <cp:revision>5</cp:revision>
  <cp:lastPrinted>2022-09-12T09:55:00Z</cp:lastPrinted>
  <dcterms:created xsi:type="dcterms:W3CDTF">2022-09-12T09:24:00Z</dcterms:created>
  <dcterms:modified xsi:type="dcterms:W3CDTF">2022-09-12T14:48:00Z</dcterms:modified>
</cp:coreProperties>
</file>