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32"/>
          <w:shd w:fill="auto" w:val="clear"/>
        </w:rPr>
      </w:pPr>
      <w:r>
        <w:object w:dxaOrig="3603" w:dyaOrig="1154">
          <v:rect xmlns:o="urn:schemas-microsoft-com:office:office" xmlns:v="urn:schemas-microsoft-com:vml" id="rectole0000000000" style="width:180.150000pt;height:5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32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32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32"/>
          <w:shd w:fill="auto" w:val="clear"/>
        </w:rPr>
        <w:t xml:space="preserve">S.N.A.L.S.-Conf.S.A.L.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  <w:t xml:space="preserve">Sindacato Nazionale Autonomo Lavoratori Scuola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Via Curtatone, 2/4 - 16122 GENOVA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</w:p>
    <w:p>
      <w:pPr>
        <w:tabs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i/>
          <w:color w:val="000000"/>
          <w:spacing w:val="0"/>
          <w:position w:val="0"/>
          <w:sz w:val="24"/>
          <w:shd w:fill="auto" w:val="clear"/>
        </w:rPr>
        <w:t xml:space="preserve">Notiziario Sindacale</w:t>
      </w:r>
      <w:r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  <w:tab/>
      </w:r>
    </w:p>
    <w:p>
      <w:pPr>
        <w:tabs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i/>
          <w:color w:val="000000"/>
          <w:spacing w:val="0"/>
          <w:position w:val="0"/>
          <w:sz w:val="24"/>
          <w:shd w:fill="auto" w:val="clear"/>
        </w:rPr>
        <w:t xml:space="preserve">del 29 ottobre 2025</w:t>
      </w:r>
      <w:r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  <w:t xml:space="preserve">                                Alle SCUOLE di ogni ordine e grado</w:t>
      </w:r>
    </w:p>
    <w:p>
      <w:pPr>
        <w:tabs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  <w:tab/>
        <w:t xml:space="preserve">LORO SEDI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  <w:t xml:space="preserve">Sommario: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425" w:hanging="425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-</w:t>
        <w:tab/>
        <w:t xml:space="preserve">SOSPRA - Servizio di supporto operativo per le attività di gestione e di organizzazione della Scuola: i nuovi webinar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425" w:hanging="425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-</w:t>
        <w:tab/>
        <w:t xml:space="preserve">Avvio del progetto Studente-atleta di alto livello per l'a.s. 2025/2026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426" w:hanging="426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*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u w:val="single"/>
          <w:shd w:fill="auto" w:val="clear"/>
        </w:rPr>
        <w:t xml:space="preserve">SOSPRA - SERVIZIO DI SUPPORTO OPERATIVO PER LE ATTIVITÀ DI GESTIONE E DI ORGANIZZAZIONE DELLA SCUOLA: I NUOVI WEBINAR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Lo SNALS-Confsal offre, anche per il nuovo anno scolastico, un servizio di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supporto operativo per le attività di gestione e di organizzazione della Scuola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, in relazione a scadenze, adempimenti normativi e responsabilità professionali.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Attraverso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webinar formativi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,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consulenze personalizzate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,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workshop pratici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e il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supporto di esperti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, lo SNALS-Confsal mette a disposizione strumenti concreti per gestire procedure e adempimenti, anche a fronte delle criticità che si riscontrano nella lavorazione delle posizioni assicurative.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Sono stati calendarizzati nuovi incontri online, da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settembre a dicembre 2025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, riportati nelle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due locandine,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inviate in precedenza, </w:t>
      </w:r>
    </w:p>
    <w:p>
      <w:pPr>
        <w:tabs>
          <w:tab w:val="left" w:pos="426" w:leader="none"/>
          <w:tab w:val="left" w:pos="851" w:leader="none"/>
          <w:tab w:val="left" w:pos="2552" w:leader="none"/>
          <w:tab w:val="left" w:pos="5954" w:leader="none"/>
        </w:tabs>
        <w:spacing w:before="0" w:after="0" w:line="240"/>
        <w:ind w:right="0" w:left="2552" w:hanging="2552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552" w:leader="none"/>
          <w:tab w:val="left" w:pos="5954" w:leader="none"/>
        </w:tabs>
        <w:spacing w:before="0" w:after="0" w:line="240"/>
        <w:ind w:right="0" w:left="2552" w:hanging="2552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La prossima data è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u w:val="single"/>
          <w:shd w:fill="auto" w:val="clear"/>
        </w:rPr>
        <w:t xml:space="preserve">mercoledì 5 novembre, dalle ore 11:30 alle ore 13:30</w:t>
      </w:r>
    </w:p>
    <w:p>
      <w:pPr>
        <w:tabs>
          <w:tab w:val="left" w:pos="426" w:leader="none"/>
          <w:tab w:val="left" w:pos="851" w:leader="none"/>
          <w:tab w:val="left" w:pos="2552" w:leader="none"/>
          <w:tab w:val="left" w:pos="5954" w:leader="none"/>
        </w:tabs>
        <w:spacing w:before="0" w:after="0" w:line="240"/>
        <w:ind w:right="0" w:left="2552" w:hanging="2552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ab/>
        <w:tab/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TFR TELEMATICO: dalla teoria alla pratica- 1^ parte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I webinar sono gratuiti per gli iscritti o per chi intende iscriversi allo SNALS-Confsal.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E’ possibile accedere ai suddetti servizi tramite la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piattaforma e-learning SNALS-Confsal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Verdana" w:hAnsi="Verdana" w:cs="Verdana" w:eastAsia="Verdana"/>
            <w:b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www.sospra.com</w:t>
        </w:r>
      </w:hyperlink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, o direttamente al link </w:t>
      </w:r>
      <w:hyperlink xmlns:r="http://schemas.openxmlformats.org/officeDocument/2006/relationships" r:id="docRId3">
        <w:r>
          <w:rPr>
            <w:rFonts w:ascii="Verdana" w:hAnsi="Verdana" w:cs="Verdana" w:eastAsia="Verdana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https://www.sospra.com/richiesta_iscrizione.htpl</w:t>
        </w:r>
      </w:hyperlink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compilando i campi dei corsi scelti.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*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u w:val="single"/>
          <w:shd w:fill="auto" w:val="clear"/>
        </w:rPr>
        <w:t xml:space="preserve">AVVIO DEL PROGETTO STUDENTE-ATLETA DI ALTO LIVELLO PER L'A.S. 2025/2026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E’ stata pubblicata la Circolare n. 3397 del 24 ottobre 2025 con la quale il MIM, in continuità con i precedenti anni scolastici, promuove presso le Istituzioni scolastiche secondarie di II grado anche per il corrente a.s. 2025/2026, il Progetto didattico sperimentale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1"/>
          <w:shd w:fill="auto" w:val="clear"/>
        </w:rPr>
        <w:t xml:space="preserve">“Studente-atleta di alto livello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”, realizzato in collaborazione con il Dipartimento per lo Sport della Presidenza del Consiglio dei ministri, il Comitato Olimpico Nazionale Italiano (CONI), il Comitato Italiano Paralimpico (CIP) e Sport e Salute S.p.A..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La circolare e gli allegati sono pubblicati al link </w:t>
      </w:r>
      <w:hyperlink xmlns:r="http://schemas.openxmlformats.org/officeDocument/2006/relationships" r:id="docRId4">
        <w:r>
          <w:rPr>
            <w:rFonts w:ascii="Verdana" w:hAnsi="Verdana" w:cs="Verdana" w:eastAsia="Verdana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https://www.mim.gov.it/web/guest/-/circolare-n-3397-del-24-ottobre-2025</w:t>
        </w:r>
      </w:hyperlink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212121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212121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i/>
          <w:color w:val="212121"/>
          <w:spacing w:val="0"/>
          <w:position w:val="0"/>
          <w:sz w:val="21"/>
          <w:shd w:fill="auto" w:val="clear"/>
        </w:rPr>
        <w:t xml:space="preserve">Cordiali saluti.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212121"/>
          <w:spacing w:val="0"/>
          <w:position w:val="0"/>
          <w:sz w:val="21"/>
          <w:shd w:fill="auto" w:val="clear"/>
        </w:rPr>
      </w:pP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4536" w:firstLine="0"/>
        <w:jc w:val="center"/>
        <w:rPr>
          <w:rFonts w:ascii="Verdana" w:hAnsi="Verdana" w:cs="Verdana" w:eastAsia="Verdana"/>
          <w:color w:val="212121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212121"/>
          <w:spacing w:val="0"/>
          <w:position w:val="0"/>
          <w:sz w:val="21"/>
          <w:shd w:fill="auto" w:val="clear"/>
        </w:rPr>
        <w:t xml:space="preserve">Il Segretario Provinciale</w:t>
      </w:r>
    </w:p>
    <w:p>
      <w:pPr>
        <w:tabs>
          <w:tab w:val="left" w:pos="426" w:leader="none"/>
          <w:tab w:val="left" w:pos="851" w:leader="none"/>
          <w:tab w:val="left" w:pos="2268" w:leader="none"/>
          <w:tab w:val="left" w:pos="5954" w:leader="none"/>
        </w:tabs>
        <w:spacing w:before="0" w:after="0" w:line="240"/>
        <w:ind w:right="0" w:left="4536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212121"/>
          <w:spacing w:val="0"/>
          <w:position w:val="0"/>
          <w:sz w:val="21"/>
          <w:shd w:fill="auto" w:val="clear"/>
        </w:rPr>
        <w:t xml:space="preserve">Stefania Belgini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sospra.com/richiesta_iscrizione.htpl" Id="docRId3" Type="http://schemas.openxmlformats.org/officeDocument/2006/relationships/hyperlink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sospra.com/" Id="docRId2" Type="http://schemas.openxmlformats.org/officeDocument/2006/relationships/hyperlink" /><Relationship TargetMode="External" Target="https://www.mim.gov.it/web/guest/-/circolare-n-3397-del-24-ottobre-2025" Id="docRId4" Type="http://schemas.openxmlformats.org/officeDocument/2006/relationships/hyperlink" /><Relationship Target="styles.xml" Id="docRId6" Type="http://schemas.openxmlformats.org/officeDocument/2006/relationships/styles" /></Relationships>
</file>