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Pr>
        <w:drawing>
          <wp:inline distB="0" distT="0" distL="0" distR="0">
            <wp:extent cx="5715000" cy="84772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0" cy="847725"/>
                    </a:xfrm>
                    <a:prstGeom prst="rect"/>
                    <a:ln/>
                  </pic:spPr>
                </pic:pic>
              </a:graphicData>
            </a:graphic>
          </wp:inline>
        </w:drawing>
      </w:r>
      <w:bookmarkStart w:colFirst="0" w:colLast="0" w:name="bookmark=id.2et92p0" w:id="0"/>
      <w:bookmarkEnd w:id="0"/>
      <w:bookmarkStart w:colFirst="0" w:colLast="0" w:name="bookmark=id.3znysh7" w:id="1"/>
      <w:bookmarkEnd w:id="1"/>
      <w:r w:rsidDel="00000000" w:rsidR="00000000" w:rsidRPr="00000000">
        <w:rPr>
          <w:rtl w:val="0"/>
        </w:rPr>
      </w:r>
    </w:p>
    <w:bookmarkStart w:colFirst="0" w:colLast="0" w:name="bookmark=id.tyjcwt" w:id="2"/>
    <w:bookmarkEnd w:id="2"/>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Pr>
        <w:drawing>
          <wp:inline distB="0" distT="0" distL="0" distR="0">
            <wp:extent cx="952500" cy="952500"/>
            <wp:effectExtent b="0" l="0" r="0" t="0"/>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spacing w:after="0" w:before="0" w:lineRule="auto"/>
        <w:ind w:left="0" w:right="0" w:firstLine="0"/>
        <w:jc w:val="left"/>
        <w:rPr>
          <w:highlight w:val="white"/>
        </w:rPr>
      </w:pPr>
      <w:r w:rsidDel="00000000" w:rsidR="00000000" w:rsidRPr="00000000">
        <w:rPr>
          <w:highlight w:val="white"/>
          <w:rtl w:val="0"/>
        </w:rPr>
        <w:t xml:space="preserve">ALLEGATO C) “Dichiarazione di Insussistenza Cause Incompatibilità e di assenza di conflitto di interessi”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highlight w:val="whit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Oggetto: Avviso di Selezione di Docenti interni all’Istituto Scolastico “</w:t>
      </w:r>
      <w:bookmarkStart w:colFirst="0" w:colLast="0" w:name="bookmark=id.3mj2wkv" w:id="3"/>
      <w:bookmarkEnd w:id="3"/>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Centro Provinciale Istruzione Adulti CPIA Levante Tigullio” per la realizzazione di n. </w:t>
      </w:r>
      <w:bookmarkStart w:colFirst="0" w:colLast="0" w:name="bookmark=id.21od6so" w:id="4"/>
      <w:bookmarkEnd w:id="4"/>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5 </w:t>
      </w:r>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“Laboratori di formazione sul campo” </w:t>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nell’ambito delle Azioni di </w:t>
      </w:r>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“Formazione del personale scolastico per la transizione digitale” di cui al Decreto del Ministro dell’Istruzione n. 66 del 12 aprile 2023. </w:t>
      </w:r>
      <w:r w:rsidDel="00000000" w:rsidR="00000000" w:rsidRPr="00000000">
        <w:rPr>
          <w:highlight w:val="white"/>
          <w:rtl w:val="0"/>
        </w:rPr>
        <w:t xml:space="preserve">Titolo progetto: La transizione digitale nella scuola-Codice progetto: M4C1I2.1-2023-1222-P-41630-</w:t>
      </w:r>
    </w:p>
    <w:p w:rsidR="00000000" w:rsidDel="00000000" w:rsidP="00000000" w:rsidRDefault="00000000" w:rsidRPr="00000000" w14:paraId="00000005">
      <w:pPr>
        <w:spacing w:line="276" w:lineRule="auto"/>
        <w:jc w:val="both"/>
        <w:rPr>
          <w:i w:val="1"/>
          <w:highlight w:val="white"/>
        </w:rPr>
      </w:pPr>
      <w:r w:rsidDel="00000000" w:rsidR="00000000" w:rsidRPr="00000000">
        <w:rPr>
          <w:i w:val="1"/>
          <w:highlight w:val="white"/>
          <w:rtl w:val="0"/>
        </w:rPr>
        <w:t xml:space="preserve">CUP: H54D23004150006.</w:t>
      </w:r>
    </w:p>
    <w:bookmarkStart w:colFirst="0" w:colLast="0" w:name="bookmark=id.30tazoa" w:id="5"/>
    <w:bookmarkEnd w:id="5"/>
    <w:bookmarkStart w:colFirst="0" w:colLast="0" w:name="bookmark=id.gtnh0h" w:id="6"/>
    <w:bookmarkEnd w:id="6"/>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Il/La sottoscritto/a ________________________________ nato/a a ________________________________ (_____) il ___ - ___ - ______ in servizio nell’a.s. </w:t>
      </w:r>
      <w:r w:rsidDel="00000000" w:rsidR="00000000" w:rsidRPr="00000000">
        <w:rPr>
          <w:rFonts w:ascii="Liberation Serif" w:cs="Liberation Serif" w:eastAsia="Liberation Serif" w:hAnsi="Liberation Serif"/>
          <w:b w:val="0"/>
          <w:i w:val="0"/>
          <w:smallCaps w:val="0"/>
          <w:strike w:val="0"/>
          <w:color w:val="000000"/>
          <w:sz w:val="24"/>
          <w:szCs w:val="24"/>
          <w:u w:val="none"/>
          <w:vertAlign w:val="baseline"/>
          <w:rtl w:val="0"/>
        </w:rPr>
        <w:t xml:space="preserve">__________</w:t>
      </w:r>
      <w:r w:rsidDel="00000000" w:rsidR="00000000" w:rsidRPr="00000000">
        <w:rPr>
          <w:rFonts w:ascii="Liberation Serif" w:cs="Liberation Serif" w:eastAsia="Liberation Serif" w:hAnsi="Liberation Serif"/>
          <w:b w:val="0"/>
          <w:i w:val="0"/>
          <w:smallCaps w:val="0"/>
          <w:strike w:val="0"/>
          <w:color w:val="000000"/>
          <w:sz w:val="24"/>
          <w:szCs w:val="24"/>
          <w:u w:val="none"/>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presso codesto Istituto in qualità di 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CONSAPEVOLE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DICHIARA</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a conoscenza che l’incarico in oggetto potrà essere revocato, in qualsiasi momento, qualora l’Amministrazione scolastica dovesse accertare la sussistenza, originaria o sopravvenuta, di una situazione di conflitto di interesse non diversamente risolvibile;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Luogo ____________________ , data 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Firma ________________________________</w:t>
      </w:r>
      <w:r w:rsidDel="00000000" w:rsidR="00000000" w:rsidRPr="00000000">
        <w:rPr>
          <w:rtl w:val="0"/>
        </w:rPr>
      </w:r>
    </w:p>
    <w:sectPr>
      <w:pgSz w:h="16838" w:w="11906" w:orient="portrait"/>
      <w:pgMar w:bottom="567" w:top="567"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bidi w:val="0"/>
    </w:pPr>
    <w:rPr>
      <w:rFonts w:ascii="Liberation Serif" w:cs="Noto Sans Devanagari" w:eastAsia="DejaVu Sans" w:hAnsi="Liberation Serif"/>
      <w:color w:val="auto"/>
      <w:sz w:val="24"/>
      <w:szCs w:val="24"/>
      <w:lang w:bidi="hi-IN" w:eastAsia="zh-CN" w:val="en-US"/>
    </w:rPr>
  </w:style>
  <w:style w:type="paragraph" w:styleId="Heading3">
    <w:name w:val="Heading 3"/>
    <w:basedOn w:val="Heading"/>
    <w:next w:val="TextBody"/>
    <w:qFormat w:val="1"/>
    <w:pPr>
      <w:spacing w:after="120" w:before="140"/>
      <w:outlineLvl w:val="2"/>
    </w:pPr>
    <w:rPr>
      <w:rFonts w:ascii="Liberation Serif" w:cs="Noto Sans Devanagari" w:eastAsia="DejaVu Sans" w:hAnsi="Liberation Serif"/>
      <w:b w:val="1"/>
      <w:bCs w:val="1"/>
      <w:sz w:val="28"/>
      <w:szCs w:val="28"/>
    </w:rPr>
  </w:style>
  <w:style w:type="character" w:styleId="Emphasis">
    <w:name w:val="Emphasis"/>
    <w:qFormat w:val="1"/>
    <w:rPr>
      <w:i w:val="1"/>
      <w:iCs w:val="1"/>
    </w:rPr>
  </w:style>
  <w:style w:type="character" w:styleId="StrongEmphasis">
    <w:name w:val="Strong Emphasis"/>
    <w:qFormat w:val="1"/>
    <w:rPr>
      <w:b w:val="1"/>
      <w:bCs w:val="1"/>
    </w:rPr>
  </w:style>
  <w:style w:type="character" w:styleId="InternetLink">
    <w:name w:val="Hyperlink"/>
    <w:rPr>
      <w:color w:val="000080"/>
      <w:u w:val="single"/>
      <w:lang w:bidi="zxx" w:eastAsia="zxx" w:val="zxx"/>
    </w:rPr>
  </w:style>
  <w:style w:type="character" w:styleId="Bullets">
    <w:name w:val="Bullets"/>
    <w:qFormat w:val="1"/>
    <w:rPr>
      <w:rFonts w:ascii="OpenSymbol" w:cs="OpenSymbol" w:eastAsia="OpenSymbol" w:hAnsi="OpenSymbol"/>
    </w:rPr>
  </w:style>
  <w:style w:type="paragraph" w:styleId="Heading">
    <w:name w:val="Heading"/>
    <w:basedOn w:val="Normal"/>
    <w:next w:val="TextBody"/>
    <w:qFormat w:val="1"/>
    <w:pPr>
      <w:keepNext w:val="1"/>
      <w:spacing w:after="120" w:before="240"/>
    </w:pPr>
    <w:rPr>
      <w:rFonts w:ascii="Liberation Sans" w:cs="Noto Sans Devanagari" w:eastAsia="DejaVu Sans"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lang w:bidi="zxx" w:eastAsia="zxx" w:val="zxx"/>
    </w:rPr>
  </w:style>
  <w:style w:type="paragraph" w:styleId="TableContents">
    <w:name w:val="Table Contents"/>
    <w:basedOn w:val="Normal"/>
    <w:qFormat w:val="1"/>
    <w:pPr>
      <w:widowControl w:val="0"/>
      <w:suppressLineNumbers w:val="1"/>
    </w:pPr>
    <w:rPr/>
  </w:style>
  <w:style w:type="paragraph" w:styleId="TableHeading">
    <w:name w:val="Table Heading"/>
    <w:basedOn w:val="TableContents"/>
    <w:qFormat w:val="1"/>
    <w:pPr>
      <w:suppressLineNumbers w:val="1"/>
      <w:jc w:val="center"/>
    </w:pPr>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28.0" w:type="dxa"/>
      </w:tblCellMar>
    </w:tblPr>
  </w:style>
  <w:style w:type="table" w:styleId="Table2">
    <w:basedOn w:val="TableNormal"/>
    <w:tblPr>
      <w:tblStyleRowBandSize w:val="1"/>
      <w:tblStyleColBandSize w:val="1"/>
      <w:tblCellMar>
        <w:top w:w="28.0" w:type="dxa"/>
        <w:left w:w="28.0" w:type="dxa"/>
        <w:bottom w:w="28.0" w:type="dxa"/>
        <w:right w:w="28.0" w:type="dxa"/>
      </w:tblCellMar>
    </w:tblPr>
  </w:style>
  <w:style w:type="table" w:styleId="Table3">
    <w:basedOn w:val="TableNormal"/>
    <w:tblPr>
      <w:tblStyleRowBandSize w:val="1"/>
      <w:tblStyleColBandSize w:val="1"/>
      <w:tblCellMar>
        <w:top w:w="28.0" w:type="dxa"/>
        <w:left w:w="28.0" w:type="dxa"/>
        <w:bottom w:w="28.0" w:type="dxa"/>
        <w:right w:w="28.0" w:type="dxa"/>
      </w:tblCellMar>
    </w:tblPr>
  </w:style>
  <w:style w:type="table" w:styleId="Table4">
    <w:basedOn w:val="TableNormal"/>
    <w:tblPr>
      <w:tblStyleRowBandSize w:val="1"/>
      <w:tblStyleColBandSize w:val="1"/>
      <w:tblCellMar>
        <w:top w:w="28.0" w:type="dxa"/>
        <w:left w:w="28.0" w:type="dxa"/>
        <w:bottom w:w="28.0" w:type="dxa"/>
        <w:right w:w="28.0" w:type="dxa"/>
      </w:tblCellMar>
    </w:tblPr>
  </w:style>
  <w:style w:type="table" w:styleId="Table5">
    <w:basedOn w:val="TableNormal"/>
    <w:tblPr>
      <w:tblStyleRowBandSize w:val="1"/>
      <w:tblStyleColBandSize w:val="1"/>
      <w:tblCellMar>
        <w:top w:w="28.0" w:type="dxa"/>
        <w:left w:w="28.0" w:type="dxa"/>
        <w:bottom w:w="28.0" w:type="dxa"/>
        <w:right w:w="28.0" w:type="dxa"/>
      </w:tblCellMar>
    </w:tblPr>
  </w:style>
  <w:style w:type="table" w:styleId="Table6">
    <w:basedOn w:val="TableNormal"/>
    <w:tblPr>
      <w:tblStyleRowBandSize w:val="1"/>
      <w:tblStyleColBandSize w:val="1"/>
      <w:tblCellMar>
        <w:top w:w="28.0" w:type="dxa"/>
        <w:left w:w="28.0" w:type="dxa"/>
        <w:bottom w:w="28.0" w:type="dxa"/>
        <w:right w:w="2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28.0" w:type="dxa"/>
      </w:tblCellMar>
    </w:tblPr>
  </w:style>
  <w:style w:type="table" w:styleId="Table2">
    <w:basedOn w:val="TableNormal"/>
    <w:tblPr>
      <w:tblStyleRowBandSize w:val="1"/>
      <w:tblStyleColBandSize w:val="1"/>
      <w:tblCellMar>
        <w:top w:w="28.0" w:type="dxa"/>
        <w:left w:w="28.0" w:type="dxa"/>
        <w:bottom w:w="28.0" w:type="dxa"/>
        <w:right w:w="28.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28.0" w:type="dxa"/>
        <w:left w:w="28.0" w:type="dxa"/>
        <w:bottom w:w="28.0" w:type="dxa"/>
        <w:right w:w="28.0" w:type="dxa"/>
      </w:tblCellMar>
    </w:tblPr>
  </w:style>
  <w:style w:type="table" w:styleId="Table5">
    <w:basedOn w:val="TableNormal"/>
    <w:tblPr>
      <w:tblStyleRowBandSize w:val="1"/>
      <w:tblStyleColBandSize w:val="1"/>
      <w:tblCellMar>
        <w:top w:w="28.0" w:type="dxa"/>
        <w:left w:w="28.0" w:type="dxa"/>
        <w:bottom w:w="28.0" w:type="dxa"/>
        <w:right w:w="28.0" w:type="dxa"/>
      </w:tblCellMar>
    </w:tblPr>
  </w:style>
  <w:style w:type="table" w:styleId="Table6">
    <w:basedOn w:val="TableNormal"/>
    <w:tblPr>
      <w:tblStyleRowBandSize w:val="1"/>
      <w:tblStyleColBandSize w:val="1"/>
      <w:tblCellMar>
        <w:top w:w="28.0" w:type="dxa"/>
        <w:left w:w="28.0" w:type="dxa"/>
        <w:bottom w:w="28.0" w:type="dxa"/>
        <w:right w:w="2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YXFDJuIFb2ulENPL/LlzljJEw==">CgMxLjAyCmlkLjJldDkycDAyCmlkLjN6bnlzaDcyCWlkLnR5amN3dDIKaWQuM21qMndrdjIKaWQuMjFvZDZzbzIKaWQuMzB0YXpvYTIJaWQuZ3RuaDBoOAByITFfZWRjUmVkVV9jN09YcDMxY0Faa0RCOUNDVlZsbVdNdQ==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