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04" w:rsidRDefault="00047104"/>
    <w:p w:rsidR="00047104" w:rsidRDefault="00047104"/>
    <w:p w:rsidR="00047104" w:rsidRDefault="00047104"/>
    <w:tbl>
      <w:tblPr>
        <w:tblStyle w:val="a3"/>
        <w:tblW w:w="7995" w:type="dxa"/>
        <w:tblInd w:w="0" w:type="dxa"/>
        <w:tblBorders>
          <w:left w:val="single" w:sz="12" w:space="0" w:color="5B9BD5"/>
        </w:tblBorders>
        <w:tblLayout w:type="fixed"/>
        <w:tblLook w:val="0400"/>
      </w:tblPr>
      <w:tblGrid>
        <w:gridCol w:w="7995"/>
      </w:tblGrid>
      <w:tr w:rsidR="00047104">
        <w:tc>
          <w:tcPr>
            <w:tcW w:w="7995" w:type="dxa"/>
          </w:tcPr>
          <w:p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rsidR="00047104" w:rsidRDefault="00047104">
            <w:pPr>
              <w:pBdr>
                <w:top w:val="nil"/>
                <w:left w:val="nil"/>
                <w:bottom w:val="nil"/>
                <w:right w:val="nil"/>
                <w:between w:val="nil"/>
              </w:pBdr>
              <w:spacing w:line="216" w:lineRule="auto"/>
              <w:rPr>
                <w:b/>
                <w:i/>
                <w:color w:val="1F497D"/>
                <w:sz w:val="52"/>
                <w:szCs w:val="52"/>
              </w:rPr>
            </w:pPr>
          </w:p>
          <w:p w:rsidR="00047104" w:rsidRDefault="00FD16C4" w:rsidP="00FD16C4">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 xml:space="preserve">Istituto Comprensivo Statale </w:t>
            </w:r>
            <w:r w:rsidR="00745AA4">
              <w:rPr>
                <w:rFonts w:ascii="Calibri" w:eastAsia="Calibri" w:hAnsi="Calibri" w:cs="Calibri"/>
                <w:b/>
                <w:color w:val="1F497D"/>
                <w:sz w:val="52"/>
                <w:szCs w:val="52"/>
              </w:rPr>
              <w:t>“</w:t>
            </w:r>
            <w:r>
              <w:rPr>
                <w:rFonts w:ascii="Calibri" w:eastAsia="Calibri" w:hAnsi="Calibri" w:cs="Calibri"/>
                <w:b/>
                <w:color w:val="1F497D"/>
                <w:sz w:val="52"/>
                <w:szCs w:val="52"/>
              </w:rPr>
              <w:t>G.Falcone e P.Borsellino</w:t>
            </w:r>
            <w:r w:rsidR="00745AA4">
              <w:rPr>
                <w:rFonts w:ascii="Calibri" w:eastAsia="Calibri" w:hAnsi="Calibri" w:cs="Calibri"/>
                <w:b/>
                <w:color w:val="1F497D"/>
                <w:sz w:val="52"/>
                <w:szCs w:val="52"/>
              </w:rPr>
              <w:t>”</w:t>
            </w:r>
            <w:r>
              <w:rPr>
                <w:rFonts w:ascii="Calibri" w:eastAsia="Calibri" w:hAnsi="Calibri" w:cs="Calibri"/>
                <w:b/>
                <w:color w:val="1F497D"/>
                <w:sz w:val="52"/>
                <w:szCs w:val="52"/>
              </w:rPr>
              <w:t>,Gavorrano (GR)</w:t>
            </w:r>
          </w:p>
        </w:tc>
      </w:tr>
      <w:tr w:rsidR="00047104">
        <w:tc>
          <w:tcPr>
            <w:tcW w:w="7995" w:type="dxa"/>
            <w:tcMar>
              <w:top w:w="216" w:type="dxa"/>
              <w:left w:w="115" w:type="dxa"/>
              <w:bottom w:w="216" w:type="dxa"/>
              <w:right w:w="115" w:type="dxa"/>
            </w:tcMar>
          </w:tcPr>
          <w:p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rsidR="00047104" w:rsidRDefault="001C7CB0">
      <w:pPr>
        <w:jc w:val="both"/>
      </w:pPr>
      <w:r>
        <w:br w:type="page"/>
      </w:r>
    </w:p>
    <w:sdt>
      <w:sdtPr>
        <w:id w:val="-168865961"/>
        <w:docPartObj>
          <w:docPartGallery w:val="Table of Contents"/>
          <w:docPartUnique/>
        </w:docPartObj>
      </w:sdtPr>
      <w:sdtContent>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rsidR="001C7CB0">
            <w:instrText xml:space="preserve"> TOC \h \u \z </w:instrText>
          </w:r>
          <w:r>
            <w:fldChar w:fldCharType="separate"/>
          </w:r>
          <w:hyperlink w:anchor="_heading=h.gjdgxs">
            <w:r w:rsidR="001C7CB0">
              <w:rPr>
                <w:b/>
                <w:smallCaps/>
                <w:color w:val="002060"/>
              </w:rPr>
              <w:t>Premessa</w:t>
            </w:r>
            <w:r w:rsidR="001C7CB0">
              <w:rPr>
                <w:b/>
                <w:smallCaps/>
                <w:color w:val="002060"/>
              </w:rPr>
              <w:tab/>
              <w:t>3</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fldChar w:fldCharType="begin"/>
          </w:r>
          <w:r w:rsidR="001C7CB0">
            <w:instrText xml:space="preserve"> PAGEREF _heading=h.3znysh7 \h </w:instrText>
          </w:r>
          <w:r>
            <w:fldChar w:fldCharType="separate"/>
          </w:r>
          <w:r w:rsidR="001C7CB0">
            <w:rPr>
              <w:b/>
              <w:smallCaps/>
              <w:color w:val="002060"/>
            </w:rPr>
            <w:t>Il manuale di gestione documentale</w:t>
          </w:r>
          <w:r w:rsidR="001C7CB0">
            <w:rPr>
              <w:b/>
              <w:smallCaps/>
              <w:color w:val="002060"/>
            </w:rPr>
            <w:tab/>
            <w:t>4</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fldChar w:fldCharType="begin"/>
          </w:r>
          <w:r w:rsidR="001C7CB0">
            <w:instrText xml:space="preserve"> PAGEREF _heading=h.1t3h5sf \h </w:instrText>
          </w:r>
          <w:r>
            <w:fldChar w:fldCharType="separate"/>
          </w:r>
          <w:r w:rsidR="001C7CB0">
            <w:rPr>
              <w:b/>
              <w:smallCaps/>
              <w:color w:val="002060"/>
            </w:rPr>
            <w:t>Il modello organizzativo</w:t>
          </w:r>
          <w:r w:rsidR="001C7CB0">
            <w:rPr>
              <w:b/>
              <w:smallCaps/>
              <w:color w:val="002060"/>
            </w:rPr>
            <w:tab/>
            <w:t>5</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fldChar w:fldCharType="begin"/>
          </w:r>
          <w:r w:rsidR="001C7CB0">
            <w:instrText xml:space="preserve"> PAGEREF _heading=h.44sinio \h </w:instrText>
          </w:r>
          <w:r>
            <w:fldChar w:fldCharType="separate"/>
          </w:r>
          <w:r w:rsidR="001C7CB0">
            <w:rPr>
              <w:b/>
              <w:smallCaps/>
              <w:color w:val="002060"/>
            </w:rPr>
            <w:t>Il ciclo di vita del documento</w:t>
          </w:r>
          <w:r w:rsidR="001C7CB0">
            <w:rPr>
              <w:b/>
              <w:smallCaps/>
              <w:color w:val="002060"/>
            </w:rPr>
            <w:tab/>
            <w:t>9</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fldChar w:fldCharType="begin"/>
          </w:r>
          <w:r w:rsidR="001C7CB0">
            <w:instrText xml:space="preserve"> PAGEREF _heading=h.3o7alnk \h </w:instrText>
          </w:r>
          <w:r>
            <w:fldChar w:fldCharType="separate"/>
          </w:r>
          <w:r w:rsidR="001C7CB0">
            <w:rPr>
              <w:b/>
              <w:smallCaps/>
              <w:color w:val="002060"/>
            </w:rPr>
            <w:t>Il documento amministrativo</w:t>
          </w:r>
          <w:r w:rsidR="001C7CB0">
            <w:rPr>
              <w:b/>
              <w:smallCaps/>
              <w:color w:val="002060"/>
            </w:rPr>
            <w:tab/>
            <w:t>21</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fldChar w:fldCharType="begin"/>
          </w:r>
          <w:r w:rsidR="001C7CB0">
            <w:instrText xml:space="preserve"> PAGEREF _heading=h.37m2jsg \h </w:instrText>
          </w:r>
          <w:r>
            <w:fldChar w:fldCharType="separate"/>
          </w:r>
          <w:r w:rsidR="001C7CB0">
            <w:rPr>
              <w:b/>
              <w:smallCaps/>
              <w:color w:val="002060"/>
            </w:rPr>
            <w:t>Il protocollo informatico</w:t>
          </w:r>
          <w:r w:rsidR="001C7CB0">
            <w:rPr>
              <w:b/>
              <w:smallCaps/>
              <w:color w:val="002060"/>
            </w:rPr>
            <w:tab/>
            <w:t>27</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fldChar w:fldCharType="begin"/>
          </w:r>
          <w:r w:rsidR="001C7CB0">
            <w:instrText xml:space="preserve"> PAGEREF _heading=h.3cqmetx \h </w:instrText>
          </w:r>
          <w:r>
            <w:fldChar w:fldCharType="separate"/>
          </w:r>
          <w:r w:rsidR="001C7CB0">
            <w:rPr>
              <w:b/>
              <w:smallCaps/>
              <w:color w:val="002060"/>
            </w:rPr>
            <w:t>Accesso, trasparenza e privacy</w:t>
          </w:r>
          <w:r w:rsidR="001C7CB0">
            <w:rPr>
              <w:b/>
              <w:smallCaps/>
              <w:color w:val="002060"/>
            </w:rPr>
            <w:tab/>
            <w:t>33</w:t>
          </w:r>
          <w:r>
            <w:fldChar w:fldCharType="end"/>
          </w:r>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rsidR="00047104" w:rsidRDefault="004C735C">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rsidR="00047104" w:rsidRDefault="004C735C">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rsidR="00047104" w:rsidRDefault="004C735C">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rsidR="00047104" w:rsidRDefault="001C7CB0">
      <w:r>
        <w:br w:type="page"/>
      </w:r>
    </w:p>
    <w:p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rsidR="00047104" w:rsidRDefault="001C7CB0">
      <w:pPr>
        <w:spacing w:before="120" w:after="120" w:line="288" w:lineRule="auto"/>
        <w:jc w:val="both"/>
        <w:rPr>
          <w:highlight w:val="white"/>
        </w:rPr>
      </w:pPr>
      <w:r>
        <w:rPr>
          <w:highlight w:val="white"/>
        </w:rPr>
        <w:t>Il presente Manuale di gestione documentale, adotta</w:t>
      </w:r>
      <w:r w:rsidR="00D51119">
        <w:rPr>
          <w:highlight w:val="white"/>
        </w:rPr>
        <w:t xml:space="preserve">to dall’Istituzione scolastica Istituto Comprensivo Statale “G.Falcone e P.Borsellino”, Gavorrano </w:t>
      </w:r>
      <w:r>
        <w:rPr>
          <w:highlight w:val="white"/>
        </w:rPr>
        <w:t>al fine di adeguarsi alle disposizioni di cui sopra, descrive il sistema di gestione dei documenti e fornisce le istruzioni per il corretto funzionamento del servizio per la tenuta del protocollo informatico, della gestione dei fluss</w:t>
      </w:r>
      <w:r w:rsidR="00BE5649">
        <w:rPr>
          <w:highlight w:val="white"/>
        </w:rPr>
        <w:t>i documentali e degli archivi.</w:t>
      </w:r>
    </w:p>
    <w:p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rsidR="00047104" w:rsidRDefault="00047104">
      <w:pPr>
        <w:spacing w:before="120" w:after="120" w:line="288" w:lineRule="auto"/>
        <w:jc w:val="both"/>
      </w:pPr>
    </w:p>
    <w:p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tblPr>
      <w:tblGrid>
        <w:gridCol w:w="1804"/>
        <w:gridCol w:w="8035"/>
      </w:tblGrid>
      <w:tr w:rsidR="00047104">
        <w:trPr>
          <w:trHeight w:val="241"/>
        </w:trPr>
        <w:tc>
          <w:tcPr>
            <w:tcW w:w="1804" w:type="dxa"/>
            <w:vAlign w:val="center"/>
          </w:tcPr>
          <w:p w:rsidR="00047104" w:rsidRDefault="001C7CB0">
            <w:pPr>
              <w:spacing w:after="120"/>
              <w:rPr>
                <w:b/>
                <w:i/>
              </w:rPr>
            </w:pPr>
            <w:r>
              <w:rPr>
                <w:b/>
                <w:i/>
              </w:rPr>
              <w:t>AgID</w:t>
            </w:r>
          </w:p>
        </w:tc>
        <w:tc>
          <w:tcPr>
            <w:tcW w:w="8035" w:type="dxa"/>
            <w:vAlign w:val="center"/>
          </w:tcPr>
          <w:p w:rsidR="00047104" w:rsidRDefault="001C7CB0">
            <w:pPr>
              <w:spacing w:after="120"/>
            </w:pPr>
            <w:r>
              <w:t>Agenzia per l’Italia Digitale</w:t>
            </w:r>
          </w:p>
        </w:tc>
      </w:tr>
      <w:tr w:rsidR="00047104">
        <w:trPr>
          <w:trHeight w:val="241"/>
        </w:trPr>
        <w:tc>
          <w:tcPr>
            <w:tcW w:w="1804" w:type="dxa"/>
            <w:vAlign w:val="center"/>
          </w:tcPr>
          <w:p w:rsidR="00047104" w:rsidRDefault="001C7CB0">
            <w:pPr>
              <w:spacing w:after="120"/>
            </w:pPr>
            <w:r>
              <w:rPr>
                <w:b/>
                <w:i/>
              </w:rPr>
              <w:t>AOO</w:t>
            </w:r>
          </w:p>
        </w:tc>
        <w:tc>
          <w:tcPr>
            <w:tcW w:w="8035" w:type="dxa"/>
            <w:vAlign w:val="center"/>
          </w:tcPr>
          <w:p w:rsidR="00047104" w:rsidRDefault="001C7CB0">
            <w:pPr>
              <w:spacing w:after="120"/>
              <w:jc w:val="both"/>
            </w:pPr>
            <w:r>
              <w:t>Area Organizzativa Omogenea</w:t>
            </w:r>
          </w:p>
        </w:tc>
      </w:tr>
      <w:tr w:rsidR="00047104">
        <w:trPr>
          <w:trHeight w:val="241"/>
        </w:trPr>
        <w:tc>
          <w:tcPr>
            <w:tcW w:w="1804" w:type="dxa"/>
            <w:vAlign w:val="center"/>
          </w:tcPr>
          <w:p w:rsidR="00047104" w:rsidRDefault="001C7CB0">
            <w:pPr>
              <w:spacing w:after="120"/>
            </w:pPr>
            <w:r>
              <w:rPr>
                <w:b/>
                <w:i/>
              </w:rPr>
              <w:t>CAD</w:t>
            </w:r>
          </w:p>
        </w:tc>
        <w:tc>
          <w:tcPr>
            <w:tcW w:w="8035" w:type="dxa"/>
            <w:vAlign w:val="center"/>
          </w:tcPr>
          <w:p w:rsidR="00047104" w:rsidRDefault="001C7CB0">
            <w:pPr>
              <w:spacing w:after="120"/>
              <w:jc w:val="both"/>
            </w:pPr>
            <w:r>
              <w:t>Codice dell’Amministrazione Digitale (D.Lgs. n. 82/2005 e ss.mm.ii.)</w:t>
            </w:r>
          </w:p>
        </w:tc>
      </w:tr>
      <w:tr w:rsidR="00047104">
        <w:trPr>
          <w:trHeight w:val="241"/>
        </w:trPr>
        <w:tc>
          <w:tcPr>
            <w:tcW w:w="1804" w:type="dxa"/>
            <w:vAlign w:val="center"/>
          </w:tcPr>
          <w:p w:rsidR="00047104" w:rsidRDefault="001C7CB0">
            <w:pPr>
              <w:spacing w:after="120"/>
              <w:rPr>
                <w:b/>
                <w:i/>
              </w:rPr>
            </w:pPr>
            <w:r>
              <w:rPr>
                <w:b/>
                <w:i/>
              </w:rPr>
              <w:t>D.L.</w:t>
            </w:r>
          </w:p>
        </w:tc>
        <w:tc>
          <w:tcPr>
            <w:tcW w:w="8035" w:type="dxa"/>
            <w:vAlign w:val="center"/>
          </w:tcPr>
          <w:p w:rsidR="00047104" w:rsidRDefault="001C7CB0">
            <w:pPr>
              <w:spacing w:after="120"/>
              <w:jc w:val="both"/>
            </w:pPr>
            <w:r>
              <w:t>Decreto-legge</w:t>
            </w:r>
          </w:p>
        </w:tc>
      </w:tr>
      <w:tr w:rsidR="00047104">
        <w:trPr>
          <w:trHeight w:val="241"/>
        </w:trPr>
        <w:tc>
          <w:tcPr>
            <w:tcW w:w="1804" w:type="dxa"/>
            <w:vAlign w:val="center"/>
          </w:tcPr>
          <w:p w:rsidR="00047104" w:rsidRDefault="001C7CB0">
            <w:pPr>
              <w:spacing w:after="120"/>
            </w:pPr>
            <w:r>
              <w:rPr>
                <w:b/>
                <w:i/>
              </w:rPr>
              <w:t>D.Lgs.</w:t>
            </w:r>
          </w:p>
        </w:tc>
        <w:tc>
          <w:tcPr>
            <w:tcW w:w="8035" w:type="dxa"/>
            <w:vAlign w:val="center"/>
          </w:tcPr>
          <w:p w:rsidR="00047104" w:rsidRDefault="001C7CB0">
            <w:pPr>
              <w:spacing w:after="120"/>
              <w:jc w:val="both"/>
            </w:pPr>
            <w:r>
              <w:t>Decreto Legislativo</w:t>
            </w:r>
          </w:p>
        </w:tc>
      </w:tr>
      <w:tr w:rsidR="00047104">
        <w:trPr>
          <w:trHeight w:val="241"/>
        </w:trPr>
        <w:tc>
          <w:tcPr>
            <w:tcW w:w="1804" w:type="dxa"/>
            <w:vAlign w:val="center"/>
          </w:tcPr>
          <w:p w:rsidR="00047104" w:rsidRDefault="001C7CB0">
            <w:pPr>
              <w:spacing w:after="120"/>
              <w:rPr>
                <w:b/>
                <w:i/>
              </w:rPr>
            </w:pPr>
            <w:r>
              <w:rPr>
                <w:b/>
                <w:i/>
              </w:rPr>
              <w:t>DPCM</w:t>
            </w:r>
          </w:p>
        </w:tc>
        <w:tc>
          <w:tcPr>
            <w:tcW w:w="8035" w:type="dxa"/>
            <w:vAlign w:val="center"/>
          </w:tcPr>
          <w:p w:rsidR="00047104" w:rsidRDefault="001C7CB0">
            <w:pPr>
              <w:spacing w:after="120"/>
              <w:jc w:val="both"/>
            </w:pPr>
            <w:r>
              <w:t>Decreto del Presidente del Consiglio dei Ministri</w:t>
            </w:r>
          </w:p>
        </w:tc>
      </w:tr>
      <w:tr w:rsidR="00047104">
        <w:trPr>
          <w:trHeight w:val="241"/>
        </w:trPr>
        <w:tc>
          <w:tcPr>
            <w:tcW w:w="1804" w:type="dxa"/>
            <w:vAlign w:val="center"/>
          </w:tcPr>
          <w:p w:rsidR="00047104" w:rsidRDefault="001C7CB0">
            <w:pPr>
              <w:spacing w:after="120"/>
            </w:pPr>
            <w:r>
              <w:rPr>
                <w:b/>
                <w:i/>
              </w:rPr>
              <w:t>D.P.R.</w:t>
            </w:r>
          </w:p>
        </w:tc>
        <w:tc>
          <w:tcPr>
            <w:tcW w:w="8035" w:type="dxa"/>
            <w:vAlign w:val="center"/>
          </w:tcPr>
          <w:p w:rsidR="00047104" w:rsidRDefault="001C7CB0">
            <w:pPr>
              <w:spacing w:after="120"/>
              <w:jc w:val="both"/>
            </w:pPr>
            <w:r>
              <w:t>Decreto del Presidente della Repubblica</w:t>
            </w:r>
          </w:p>
        </w:tc>
      </w:tr>
      <w:tr w:rsidR="00047104">
        <w:trPr>
          <w:trHeight w:val="241"/>
        </w:trPr>
        <w:tc>
          <w:tcPr>
            <w:tcW w:w="1804" w:type="dxa"/>
            <w:vAlign w:val="center"/>
          </w:tcPr>
          <w:p w:rsidR="00047104" w:rsidRDefault="001C7CB0">
            <w:pPr>
              <w:spacing w:after="120"/>
              <w:rPr>
                <w:b/>
                <w:i/>
              </w:rPr>
            </w:pPr>
            <w:r>
              <w:rPr>
                <w:b/>
                <w:i/>
              </w:rPr>
              <w:t>DSGA</w:t>
            </w:r>
          </w:p>
        </w:tc>
        <w:tc>
          <w:tcPr>
            <w:tcW w:w="8035" w:type="dxa"/>
            <w:vAlign w:val="center"/>
          </w:tcPr>
          <w:p w:rsidR="00047104" w:rsidRDefault="001C7CB0">
            <w:pPr>
              <w:spacing w:after="120"/>
              <w:jc w:val="both"/>
            </w:pPr>
            <w:r>
              <w:t>Direttore dei Servizi Generali e Amministrativi</w:t>
            </w:r>
          </w:p>
        </w:tc>
      </w:tr>
      <w:tr w:rsidR="00047104">
        <w:trPr>
          <w:trHeight w:val="241"/>
        </w:trPr>
        <w:tc>
          <w:tcPr>
            <w:tcW w:w="1804" w:type="dxa"/>
            <w:vAlign w:val="center"/>
          </w:tcPr>
          <w:p w:rsidR="00047104" w:rsidRDefault="001C7CB0">
            <w:pPr>
              <w:spacing w:after="120"/>
              <w:rPr>
                <w:b/>
                <w:i/>
              </w:rPr>
            </w:pPr>
            <w:r>
              <w:rPr>
                <w:b/>
                <w:i/>
              </w:rPr>
              <w:t>GDPR</w:t>
            </w:r>
          </w:p>
        </w:tc>
        <w:tc>
          <w:tcPr>
            <w:tcW w:w="8035" w:type="dxa"/>
            <w:vAlign w:val="center"/>
          </w:tcPr>
          <w:p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trPr>
          <w:trHeight w:val="241"/>
        </w:trPr>
        <w:tc>
          <w:tcPr>
            <w:tcW w:w="1804" w:type="dxa"/>
            <w:vAlign w:val="center"/>
          </w:tcPr>
          <w:p w:rsidR="00047104" w:rsidRDefault="001C7CB0">
            <w:pPr>
              <w:spacing w:after="120"/>
              <w:rPr>
                <w:b/>
                <w:i/>
              </w:rPr>
            </w:pPr>
            <w:r>
              <w:rPr>
                <w:b/>
                <w:i/>
              </w:rPr>
              <w:t>iPA</w:t>
            </w:r>
          </w:p>
        </w:tc>
        <w:tc>
          <w:tcPr>
            <w:tcW w:w="8035" w:type="dxa"/>
            <w:vAlign w:val="center"/>
          </w:tcPr>
          <w:p w:rsidR="00047104" w:rsidRDefault="001C7CB0">
            <w:pPr>
              <w:spacing w:after="120"/>
              <w:jc w:val="both"/>
            </w:pPr>
            <w:r>
              <w:t>Indice delle Pubbliche Amministrazioni</w:t>
            </w:r>
          </w:p>
        </w:tc>
      </w:tr>
      <w:tr w:rsidR="00047104">
        <w:trPr>
          <w:trHeight w:val="240"/>
        </w:trPr>
        <w:tc>
          <w:tcPr>
            <w:tcW w:w="1804" w:type="dxa"/>
            <w:vAlign w:val="center"/>
          </w:tcPr>
          <w:p w:rsidR="00047104" w:rsidRDefault="001C7CB0">
            <w:pPr>
              <w:spacing w:after="120"/>
            </w:pPr>
            <w:r>
              <w:rPr>
                <w:b/>
                <w:i/>
              </w:rPr>
              <w:t>PEC</w:t>
            </w:r>
          </w:p>
        </w:tc>
        <w:tc>
          <w:tcPr>
            <w:tcW w:w="8035" w:type="dxa"/>
            <w:vAlign w:val="center"/>
          </w:tcPr>
          <w:p w:rsidR="00047104" w:rsidRDefault="001C7CB0">
            <w:pPr>
              <w:spacing w:after="120"/>
              <w:jc w:val="both"/>
            </w:pPr>
            <w:r>
              <w:t>Posta Elettronica Certificata</w:t>
            </w:r>
          </w:p>
        </w:tc>
      </w:tr>
      <w:tr w:rsidR="00047104">
        <w:trPr>
          <w:trHeight w:val="240"/>
        </w:trPr>
        <w:tc>
          <w:tcPr>
            <w:tcW w:w="1804" w:type="dxa"/>
            <w:vAlign w:val="center"/>
          </w:tcPr>
          <w:p w:rsidR="00047104" w:rsidRDefault="001C7CB0">
            <w:pPr>
              <w:spacing w:after="120"/>
            </w:pPr>
            <w:r>
              <w:rPr>
                <w:b/>
                <w:i/>
              </w:rPr>
              <w:t>PEO</w:t>
            </w:r>
          </w:p>
        </w:tc>
        <w:tc>
          <w:tcPr>
            <w:tcW w:w="8035" w:type="dxa"/>
            <w:vAlign w:val="center"/>
          </w:tcPr>
          <w:p w:rsidR="00047104" w:rsidRDefault="001C7CB0">
            <w:pPr>
              <w:spacing w:after="120"/>
              <w:jc w:val="both"/>
            </w:pPr>
            <w:r>
              <w:t>Posta Elettronica Ordinaria</w:t>
            </w:r>
          </w:p>
        </w:tc>
      </w:tr>
      <w:tr w:rsidR="00047104">
        <w:trPr>
          <w:trHeight w:val="241"/>
        </w:trPr>
        <w:tc>
          <w:tcPr>
            <w:tcW w:w="1804" w:type="dxa"/>
            <w:vAlign w:val="center"/>
          </w:tcPr>
          <w:p w:rsidR="00047104" w:rsidRDefault="001C7CB0">
            <w:pPr>
              <w:spacing w:after="120"/>
              <w:rPr>
                <w:b/>
                <w:i/>
              </w:rPr>
            </w:pPr>
            <w:r>
              <w:rPr>
                <w:b/>
                <w:i/>
              </w:rPr>
              <w:t>RPD</w:t>
            </w:r>
          </w:p>
        </w:tc>
        <w:tc>
          <w:tcPr>
            <w:tcW w:w="8035" w:type="dxa"/>
            <w:vAlign w:val="center"/>
          </w:tcPr>
          <w:p w:rsidR="00047104" w:rsidRDefault="001C7CB0">
            <w:pPr>
              <w:spacing w:after="120"/>
              <w:jc w:val="both"/>
            </w:pPr>
            <w:r>
              <w:t>Responsabile della protezione dei dati</w:t>
            </w:r>
          </w:p>
        </w:tc>
      </w:tr>
      <w:tr w:rsidR="00047104">
        <w:trPr>
          <w:trHeight w:val="241"/>
        </w:trPr>
        <w:tc>
          <w:tcPr>
            <w:tcW w:w="1804" w:type="dxa"/>
            <w:vAlign w:val="center"/>
          </w:tcPr>
          <w:p w:rsidR="00047104" w:rsidRDefault="001C7CB0">
            <w:pPr>
              <w:spacing w:after="120"/>
              <w:rPr>
                <w:b/>
                <w:i/>
              </w:rPr>
            </w:pPr>
            <w:r>
              <w:rPr>
                <w:b/>
                <w:i/>
              </w:rPr>
              <w:lastRenderedPageBreak/>
              <w:t>RPCT</w:t>
            </w:r>
          </w:p>
        </w:tc>
        <w:tc>
          <w:tcPr>
            <w:tcW w:w="8035" w:type="dxa"/>
            <w:vAlign w:val="center"/>
          </w:tcPr>
          <w:p w:rsidR="00047104" w:rsidRDefault="001C7CB0">
            <w:pPr>
              <w:spacing w:after="120"/>
              <w:jc w:val="both"/>
            </w:pPr>
            <w:r>
              <w:t>Responsabile per la prevenzione della corruzione e della trasparenza</w:t>
            </w:r>
          </w:p>
        </w:tc>
      </w:tr>
      <w:tr w:rsidR="00047104">
        <w:trPr>
          <w:trHeight w:val="241"/>
        </w:trPr>
        <w:tc>
          <w:tcPr>
            <w:tcW w:w="1804" w:type="dxa"/>
            <w:vAlign w:val="center"/>
          </w:tcPr>
          <w:p w:rsidR="00047104" w:rsidRDefault="001C7CB0">
            <w:pPr>
              <w:spacing w:after="120"/>
            </w:pPr>
            <w:r>
              <w:rPr>
                <w:b/>
                <w:i/>
              </w:rPr>
              <w:t>RUP</w:t>
            </w:r>
          </w:p>
        </w:tc>
        <w:tc>
          <w:tcPr>
            <w:tcW w:w="8035" w:type="dxa"/>
            <w:vAlign w:val="center"/>
          </w:tcPr>
          <w:p w:rsidR="00047104" w:rsidRDefault="001C7CB0">
            <w:pPr>
              <w:spacing w:after="120"/>
              <w:jc w:val="both"/>
            </w:pPr>
            <w:r>
              <w:t>Responsabile unico del procedimento</w:t>
            </w:r>
          </w:p>
        </w:tc>
      </w:tr>
      <w:tr w:rsidR="00047104">
        <w:trPr>
          <w:trHeight w:val="241"/>
        </w:trPr>
        <w:tc>
          <w:tcPr>
            <w:tcW w:w="1804" w:type="dxa"/>
            <w:vAlign w:val="center"/>
          </w:tcPr>
          <w:p w:rsidR="00047104" w:rsidRDefault="001C7CB0">
            <w:pPr>
              <w:spacing w:after="120"/>
              <w:rPr>
                <w:b/>
                <w:i/>
              </w:rPr>
            </w:pPr>
            <w:r>
              <w:rPr>
                <w:b/>
                <w:i/>
              </w:rPr>
              <w:t>UOR</w:t>
            </w:r>
          </w:p>
        </w:tc>
        <w:tc>
          <w:tcPr>
            <w:tcW w:w="8035" w:type="dxa"/>
            <w:vAlign w:val="center"/>
          </w:tcPr>
          <w:p w:rsidR="00047104" w:rsidRDefault="001C7CB0">
            <w:pPr>
              <w:spacing w:after="120"/>
              <w:jc w:val="both"/>
            </w:pPr>
            <w:r>
              <w:t>Unità Organizzativa Responsabile</w:t>
            </w:r>
          </w:p>
        </w:tc>
      </w:tr>
    </w:tbl>
    <w:p w:rsidR="00047104" w:rsidRDefault="00047104"/>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rsidR="00047104" w:rsidRDefault="001C7CB0">
      <w:pPr>
        <w:spacing w:before="120" w:after="120" w:line="288" w:lineRule="auto"/>
        <w:jc w:val="both"/>
      </w:pPr>
      <w:r>
        <w:t>Il Responsabile della gestione documentale</w:t>
      </w:r>
      <w:r>
        <w:rPr>
          <w:vertAlign w:val="superscript"/>
        </w:rPr>
        <w:footnoteReference w:id="2"/>
      </w:r>
      <w:r>
        <w:t xml:space="preserve"> si occupa della predisposizione del manuale, che è adottato con provvedimento dal Dirigente Scolastico.</w:t>
      </w:r>
    </w:p>
    <w:p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3"/>
      </w:r>
      <w:r>
        <w:t xml:space="preserve"> (a seguire, anche “Linee Guida”), adottate dall’AgID con Determinazione n. 407/2020 ed in seguito aggiornate con Determinazione n. 371/2021 (da </w:t>
      </w:r>
      <w:r>
        <w:lastRenderedPageBreak/>
        <w:t>attuare entro il 1° gennaio 2022),</w:t>
      </w:r>
      <w:r>
        <w:rPr>
          <w:color w:val="000000"/>
        </w:rPr>
        <w:t xml:space="preserve"> ovvero ch</w:t>
      </w:r>
      <w:r>
        <w:t xml:space="preserve">e il manuale sia reso pubblico mediante la pubblicazione sul sito istituzionale </w:t>
      </w:r>
      <w:r>
        <w:rPr>
          <w:color w:val="000000"/>
        </w:rPr>
        <w:t>in una parte chiaramente identificabile dell’area “Amministrazione trasparente”, prevista dall’art. 9 del D.Lgs. 33/2013,</w:t>
      </w:r>
      <w:r>
        <w:rPr>
          <w:color w:val="000000"/>
          <w:vertAlign w:val="superscript"/>
        </w:rPr>
        <w:footnoteReference w:id="4"/>
      </w:r>
      <w:r>
        <w:rPr>
          <w:color w:val="000000"/>
        </w:rPr>
        <w:t xml:space="preserve"> i</w:t>
      </w:r>
      <w:r>
        <w:t>l presente manuale è reso disponibile alla consultazione del pubblico mediante la diffusione sul sito istituzionale dell’Istituzione scolastica.</w:t>
      </w: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t>Il modello organizzativo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rsidR="00047104" w:rsidRPr="00FD16C4" w:rsidRDefault="001C7CB0">
      <w:pPr>
        <w:spacing w:before="120" w:after="120" w:line="288" w:lineRule="auto"/>
        <w:jc w:val="both"/>
      </w:pPr>
      <w:r>
        <w:t>L’Istituzione scolastica individua al proprio interno un'unica Area Organizzativa Omogenea (AOO), alla quale corrisponde un Registro unico di protocollo, denominato</w:t>
      </w:r>
      <w:r w:rsidR="00FD16C4">
        <w:t xml:space="preserve"> </w:t>
      </w:r>
      <w:r w:rsidRPr="00FD16C4">
        <w:t>REGISTRO PROTOCOLLO.</w:t>
      </w:r>
    </w:p>
    <w:p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rsidR="00047104" w:rsidRDefault="001C7CB0">
      <w:pPr>
        <w:tabs>
          <w:tab w:val="left" w:pos="5222"/>
        </w:tabs>
        <w:spacing w:before="120" w:after="120" w:line="288" w:lineRule="auto"/>
        <w:jc w:val="both"/>
        <w:rPr>
          <w:i/>
          <w:highlight w:val="white"/>
        </w:rPr>
      </w:pPr>
      <w:r>
        <w:rPr>
          <w:highlight w:val="white"/>
        </w:rPr>
        <w:t xml:space="preserve">L’articolazione delle AOO e delle eventuali UOR sono riportate in </w:t>
      </w:r>
      <w:r w:rsidRPr="00D51119">
        <w:t>allegato (7.1).</w:t>
      </w:r>
    </w:p>
    <w:p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5"/>
      </w:r>
      <w:r>
        <w:rPr>
          <w:color w:val="000000"/>
        </w:rPr>
        <w:t>;</w:t>
      </w:r>
    </w:p>
    <w:p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rsidR="00047104" w:rsidRDefault="001C7CB0">
      <w:pPr>
        <w:numPr>
          <w:ilvl w:val="0"/>
          <w:numId w:val="21"/>
        </w:numPr>
        <w:pBdr>
          <w:top w:val="nil"/>
          <w:left w:val="nil"/>
          <w:bottom w:val="nil"/>
          <w:right w:val="nil"/>
          <w:between w:val="nil"/>
        </w:pBdr>
        <w:spacing w:after="120" w:line="288" w:lineRule="auto"/>
        <w:jc w:val="both"/>
      </w:pPr>
      <w:r>
        <w:rPr>
          <w:color w:val="000000"/>
        </w:rPr>
        <w:lastRenderedPageBreak/>
        <w:t xml:space="preserve">il </w:t>
      </w:r>
      <w:r>
        <w:rPr>
          <w:b/>
          <w:color w:val="000000"/>
        </w:rPr>
        <w:t>Responsabile della protezione dei dati</w:t>
      </w:r>
      <w:r>
        <w:rPr>
          <w:color w:val="000000"/>
        </w:rPr>
        <w:t xml:space="preserve">, ai sensi dell’art. 37 del Regolamento UE 679/2016. </w:t>
      </w:r>
    </w:p>
    <w:p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6"/>
      </w:r>
      <w:r>
        <w:t>.</w:t>
      </w:r>
    </w:p>
    <w:p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rsidR="00047104" w:rsidRPr="00FD16C4" w:rsidRDefault="001C7CB0">
      <w:pPr>
        <w:spacing w:before="120" w:after="120" w:line="288" w:lineRule="auto"/>
        <w:jc w:val="both"/>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 xml:space="preserve">el </w:t>
      </w:r>
      <w:r w:rsidR="005A0B4C" w:rsidRPr="00FD16C4">
        <w:t>Dirigente Scolastico</w:t>
      </w:r>
      <w:r w:rsidR="00FD16C4" w:rsidRPr="00FD16C4">
        <w:t xml:space="preserve"> Dott.ssa Valeria Bonatti</w:t>
      </w:r>
      <w:r w:rsidRPr="00FD16C4">
        <w:t>.</w:t>
      </w:r>
    </w:p>
    <w:p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rsidR="00047104" w:rsidRDefault="001C7CB0">
      <w:pPr>
        <w:spacing w:before="120" w:after="120" w:line="288" w:lineRule="auto"/>
        <w:jc w:val="both"/>
      </w:pPr>
      <w:r>
        <w:t>In particolare, il Responsabile della conservazione:</w:t>
      </w:r>
    </w:p>
    <w:p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lastRenderedPageBreak/>
        <w:t>effettua il monitoraggio della corretta funzionalità del sistema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rsidR="00047104" w:rsidRPr="00FD16C4" w:rsidRDefault="001C7CB0">
      <w:pPr>
        <w:spacing w:before="120" w:after="120" w:line="288" w:lineRule="auto"/>
        <w:jc w:val="both"/>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 xml:space="preserve">one scolastica, nella persona </w:t>
      </w:r>
      <w:r w:rsidR="005A0B4C" w:rsidRPr="00FD16C4">
        <w:t>del Dirigente Scolastico</w:t>
      </w:r>
      <w:r w:rsidR="00FD16C4" w:rsidRPr="00FD16C4">
        <w:t xml:space="preserve"> Dott.ssa Valeria Bonatti</w:t>
      </w:r>
      <w:r w:rsidRPr="00FD16C4">
        <w:t>.</w:t>
      </w:r>
    </w:p>
    <w:p w:rsidR="00047104" w:rsidRDefault="001C7CB0">
      <w:pPr>
        <w:spacing w:before="120" w:after="120" w:line="288" w:lineRule="auto"/>
        <w:jc w:val="both"/>
      </w:pPr>
      <w:r>
        <w:t>Il Responsabile della conservazione è nominato con apposito decreto del Dirigente Scolastico.</w:t>
      </w:r>
    </w:p>
    <w:p w:rsidR="00047104" w:rsidRPr="00FD16C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w:t>
      </w:r>
      <w:r>
        <w:lastRenderedPageBreak/>
        <w:t xml:space="preserve">oggetto dati, informazioni o documenti oggetto di pubblicazione obbligatoria ai sensi del D.Lgs. </w:t>
      </w:r>
      <w:r w:rsidRPr="00FD16C4">
        <w:t>33/2013</w:t>
      </w:r>
      <w:r w:rsidRPr="00FD16C4">
        <w:rPr>
          <w:vertAlign w:val="superscript"/>
        </w:rPr>
        <w:footnoteReference w:id="9"/>
      </w:r>
      <w:r w:rsidRPr="00FD16C4">
        <w:t>.</w:t>
      </w:r>
    </w:p>
    <w:p w:rsidR="00082781" w:rsidRPr="00FD16C4" w:rsidRDefault="00082781" w:rsidP="00082781">
      <w:pPr>
        <w:spacing w:before="120" w:after="120" w:line="288" w:lineRule="auto"/>
        <w:jc w:val="both"/>
      </w:pPr>
      <w:r w:rsidRPr="00FD16C4">
        <w:t xml:space="preserve">Il </w:t>
      </w:r>
      <w:r w:rsidRPr="00FD16C4">
        <w:rPr>
          <w:bCs/>
        </w:rPr>
        <w:t>D.M. n. 325 del 26 maggio 2017</w:t>
      </w:r>
      <w:r w:rsidRPr="00FD16C4">
        <w:t xml:space="preserve"> ha designato i </w:t>
      </w:r>
      <w:r w:rsidRPr="00FD16C4">
        <w:rPr>
          <w:bCs/>
        </w:rPr>
        <w:t>Direttori Generali degli Uffici Scolastici Regionali</w:t>
      </w:r>
      <w:r w:rsidRPr="00FD16C4">
        <w:t xml:space="preserve"> (USR) come </w:t>
      </w:r>
      <w:r w:rsidRPr="00FD16C4">
        <w:rPr>
          <w:bCs/>
        </w:rPr>
        <w:t>Responsabili della Prevenzione della Corruzione e della Trasparenza (RPCT)</w:t>
      </w:r>
      <w:r w:rsidRPr="00FD16C4">
        <w:t xml:space="preserve"> per le istituzioni scolastiche statali nelle rispettive regioni. </w:t>
      </w:r>
    </w:p>
    <w:p w:rsidR="00082781" w:rsidRPr="00082781" w:rsidRDefault="00082781" w:rsidP="00082781">
      <w:pPr>
        <w:spacing w:before="120" w:after="120" w:line="288" w:lineRule="auto"/>
        <w:jc w:val="both"/>
      </w:pPr>
      <w:r w:rsidRPr="00FD16C4">
        <w:t>I Dirigenti Scolastici sono chiamati a collaborare con il RPCT per implementare le misure previste nel PTPCT, assicurando l'adozione di pratiche amministrative trasparenti e conformi alle normative vigenti.</w:t>
      </w:r>
    </w:p>
    <w:p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rsidR="00047104" w:rsidRDefault="001C7CB0">
      <w:pPr>
        <w:spacing w:before="120" w:after="120" w:line="288" w:lineRule="auto"/>
        <w:jc w:val="both"/>
      </w:pPr>
      <w:r>
        <w:lastRenderedPageBreak/>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t>2.4. Caselle di posta elettronica</w:t>
      </w:r>
    </w:p>
    <w:p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rsidR="00047104" w:rsidRPr="007169CB" w:rsidRDefault="001C7CB0">
      <w:pPr>
        <w:spacing w:before="120" w:after="120" w:line="288" w:lineRule="auto"/>
        <w:jc w:val="both"/>
        <w:rPr>
          <w:highlight w:val="yellow"/>
        </w:rPr>
      </w:pPr>
      <w:r>
        <w:rPr>
          <w:highlight w:val="white"/>
        </w:rPr>
        <w:t xml:space="preserve">La casella di cui sopra costituisce l’indirizzo virtuale della sede legale dell’AOO. </w:t>
      </w:r>
    </w:p>
    <w:p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t>Il ciclo di vita del documento</w:t>
      </w:r>
    </w:p>
    <w:p w:rsidR="00047104" w:rsidRDefault="001C7CB0">
      <w:pPr>
        <w:spacing w:before="120" w:after="120" w:line="288" w:lineRule="auto"/>
        <w:jc w:val="both"/>
      </w:pPr>
      <w:r>
        <w:rPr>
          <w:noProof/>
        </w:rPr>
        <w:drawing>
          <wp:inline distT="0" distB="0" distL="0" distR="0">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57915" cy="1071814"/>
                    </a:xfrm>
                    <a:prstGeom prst="rect">
                      <a:avLst/>
                    </a:prstGeom>
                    <a:ln/>
                  </pic:spPr>
                </pic:pic>
              </a:graphicData>
            </a:graphic>
          </wp:inline>
        </w:drawing>
      </w:r>
    </w:p>
    <w:p w:rsidR="00047104" w:rsidRDefault="001C7CB0">
      <w:pPr>
        <w:spacing w:before="120" w:after="120" w:line="288" w:lineRule="auto"/>
        <w:jc w:val="both"/>
      </w:pPr>
      <w:r>
        <w:t>Il ciclo di vita del documento è articolato nei processi di produzione, gestione e conservazione:</w:t>
      </w:r>
    </w:p>
    <w:p w:rsidR="00047104" w:rsidRDefault="001C7CB0">
      <w:pPr>
        <w:numPr>
          <w:ilvl w:val="0"/>
          <w:numId w:val="7"/>
        </w:numPr>
        <w:pBdr>
          <w:top w:val="nil"/>
          <w:left w:val="nil"/>
          <w:bottom w:val="nil"/>
          <w:right w:val="nil"/>
          <w:between w:val="nil"/>
        </w:pBdr>
        <w:spacing w:before="120" w:after="0" w:line="288" w:lineRule="auto"/>
        <w:jc w:val="both"/>
      </w:pPr>
      <w:r>
        <w:rPr>
          <w:color w:val="000000"/>
        </w:rPr>
        <w:lastRenderedPageBreak/>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rsidR="00047104" w:rsidRDefault="001C7CB0">
      <w:pPr>
        <w:spacing w:before="120" w:after="120" w:line="288" w:lineRule="auto"/>
        <w:jc w:val="both"/>
      </w:pPr>
      <w:r>
        <w:t>Nei paragrafi successivi si riporta una panoramica dei processi suddivisi per:</w:t>
      </w:r>
    </w:p>
    <w:p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e “Processo di produzione - Creazione”, al fine di distinguere rispettivamente le attività relative ai documenti in entrata dalle attività relative ai documenti elaborati dall’Istituzione scolastica. </w:t>
      </w:r>
    </w:p>
    <w:p w:rsidR="00047104" w:rsidRDefault="001C7CB0">
      <w:pPr>
        <w:spacing w:before="120" w:after="120" w:line="288" w:lineRule="auto"/>
        <w:jc w:val="both"/>
      </w:pPr>
      <w:r>
        <w:t>Con riferimento alla gestione del documento, si fornisce un dettaglio delle seguenti fasi: classificazione, fascicolazione, archiviazione.</w:t>
      </w:r>
    </w:p>
    <w:p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2"/>
      </w:r>
      <w:r>
        <w:rPr>
          <w:color w:val="000000"/>
        </w:rPr>
        <w:t>;</w:t>
      </w:r>
    </w:p>
    <w:p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rsidR="00047104" w:rsidRDefault="001C7CB0">
      <w:pPr>
        <w:tabs>
          <w:tab w:val="left" w:pos="2945"/>
        </w:tabs>
        <w:spacing w:before="120" w:after="120" w:line="288" w:lineRule="auto"/>
        <w:jc w:val="both"/>
        <w:rPr>
          <w:i/>
          <w:highlight w:val="white"/>
        </w:rPr>
      </w:pPr>
      <w:r>
        <w:rPr>
          <w:i/>
          <w:highlight w:val="white"/>
        </w:rPr>
        <w:t>oppure</w:t>
      </w:r>
    </w:p>
    <w:p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rsidR="00047104" w:rsidRDefault="001C7CB0">
      <w:pPr>
        <w:spacing w:before="120" w:after="120" w:line="288" w:lineRule="auto"/>
        <w:jc w:val="both"/>
        <w:rPr>
          <w:highlight w:val="white"/>
        </w:rPr>
      </w:pPr>
      <w:r>
        <w:rPr>
          <w:highlight w:val="white"/>
        </w:rPr>
        <w:lastRenderedPageBreak/>
        <w:t>Se il documento è di competenza dell’Istituzione scolastica ricevente, segue la fase di registrazione in cui l’operatore addetto alla protocollazione:</w:t>
      </w:r>
    </w:p>
    <w:p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r>
        <w:rPr>
          <w:color w:val="000000"/>
          <w:highlight w:val="white"/>
        </w:rPr>
        <w:t>verifica la presenza di categorie particolari di dati personali, di cui all’articolo 9 del Regolamento UE 679/2016, ai fini dell’attuazione delle misure di sicurezza previste al paragrafo 6.1;</w:t>
      </w:r>
    </w:p>
    <w:p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rsidR="00022D06" w:rsidRDefault="001C7CB0">
      <w:pPr>
        <w:spacing w:before="120" w:after="120" w:line="288" w:lineRule="auto"/>
        <w:jc w:val="both"/>
      </w:pPr>
      <w:r>
        <w:rPr>
          <w:highlight w:val="white"/>
        </w:rPr>
        <w:t>Nella fase di assegnazione, l’operatore addetto alla protocollazione provvede all’assegnazione del documento al personale competente secondo le seguenti mo</w:t>
      </w:r>
      <w:r w:rsidR="00022D06">
        <w:rPr>
          <w:highlight w:val="white"/>
        </w:rPr>
        <w:t>dalità e regole di assegnazione</w:t>
      </w:r>
      <w:r w:rsidR="00022D06">
        <w:t>.</w:t>
      </w:r>
    </w:p>
    <w:p w:rsidR="00047104" w:rsidRDefault="001C7CB0">
      <w:pPr>
        <w:spacing w:before="120" w:after="120" w:line="288" w:lineRule="auto"/>
        <w:jc w:val="both"/>
        <w:rPr>
          <w:highlight w:val="white"/>
        </w:rPr>
      </w:pPr>
      <w:r>
        <w:rPr>
          <w:highlight w:val="white"/>
        </w:rPr>
        <w:t>Il Responsabile della gestione documentale, ovvero il vicario, può, in ogni caso, rettificare l’assegnatario del documento.</w:t>
      </w:r>
    </w:p>
    <w:p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rsidR="00047104" w:rsidRDefault="001C7CB0">
      <w:pPr>
        <w:numPr>
          <w:ilvl w:val="0"/>
          <w:numId w:val="33"/>
        </w:numPr>
        <w:spacing w:before="120" w:after="120" w:line="288" w:lineRule="auto"/>
        <w:jc w:val="both"/>
        <w:rPr>
          <w:highlight w:val="white"/>
        </w:rPr>
      </w:pPr>
      <w:r>
        <w:rPr>
          <w:highlight w:val="white"/>
        </w:rPr>
        <w:t>inserisce il documento cartaceo in un nuovo fascicolo o in un fascicolo già esistente all’interno dell’archivio corrente cartaceo;</w:t>
      </w:r>
    </w:p>
    <w:p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rsidR="00047104" w:rsidRDefault="001C7CB0">
      <w:pPr>
        <w:spacing w:before="120" w:after="120" w:line="288" w:lineRule="auto"/>
        <w:jc w:val="both"/>
        <w:rPr>
          <w:highlight w:val="white"/>
        </w:rPr>
      </w:pPr>
      <w:bookmarkStart w:id="20" w:name="_heading=h.1y810tw" w:colFirst="0" w:colLast="0"/>
      <w:bookmarkEnd w:id="20"/>
      <w:r>
        <w:rPr>
          <w:highlight w:val="white"/>
        </w:rPr>
        <w:t>Per tali attività, il Responsabile della gestione può disporre apposita delega all’assegnatario o ad altro personale appositamente individuato.</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047104" w:rsidRDefault="001C7CB0">
      <w:pPr>
        <w:spacing w:before="120" w:after="120" w:line="288" w:lineRule="auto"/>
        <w:jc w:val="both"/>
        <w:rPr>
          <w:highlight w:val="white"/>
        </w:rPr>
      </w:pPr>
      <w:r>
        <w:rPr>
          <w:noProof/>
          <w:highlight w:val="white"/>
        </w:rPr>
        <w:drawing>
          <wp:inline distT="0" distB="0" distL="0" distR="0">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84000" cy="1757398"/>
                    </a:xfrm>
                    <a:prstGeom prst="rect">
                      <a:avLst/>
                    </a:prstGeom>
                    <a:ln/>
                  </pic:spPr>
                </pic:pic>
              </a:graphicData>
            </a:graphic>
          </wp:inline>
        </w:drawing>
      </w:r>
    </w:p>
    <w:p w:rsidR="00047104" w:rsidRDefault="001C7CB0">
      <w:pPr>
        <w:spacing w:before="120" w:after="120" w:line="288" w:lineRule="auto"/>
        <w:jc w:val="both"/>
        <w:rPr>
          <w:highlight w:val="white"/>
        </w:rPr>
      </w:pPr>
      <w:r>
        <w:rPr>
          <w:highlight w:val="white"/>
        </w:rPr>
        <w:lastRenderedPageBreak/>
        <w:t xml:space="preserve">Nel caso di </w:t>
      </w:r>
      <w:r>
        <w:rPr>
          <w:b/>
          <w:highlight w:val="white"/>
        </w:rPr>
        <w:t>documento informatico in ingresso</w:t>
      </w:r>
      <w:r>
        <w:rPr>
          <w:highlight w:val="white"/>
        </w:rPr>
        <w:t>, nella fase di acquisizione, l’Istituzione scolastica ricevente verifica la competenza del documento.</w:t>
      </w:r>
    </w:p>
    <w:p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3"/>
      </w:r>
      <w:r>
        <w:rPr>
          <w:color w:val="000000"/>
          <w:highlight w:val="white"/>
        </w:rPr>
        <w:t>;</w:t>
      </w:r>
    </w:p>
    <w:p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4"/>
      </w:r>
      <w:r>
        <w:rPr>
          <w:color w:val="000000"/>
          <w:highlight w:val="white"/>
        </w:rPr>
        <w:t>;</w:t>
      </w:r>
    </w:p>
    <w:p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047104" w:rsidRDefault="001C7CB0">
      <w:pPr>
        <w:spacing w:before="120" w:after="120" w:line="288" w:lineRule="auto"/>
        <w:jc w:val="both"/>
        <w:rPr>
          <w:highlight w:val="white"/>
        </w:rPr>
      </w:pPr>
      <w:r>
        <w:rPr>
          <w:noProof/>
          <w:highlight w:val="white"/>
        </w:rPr>
        <w:drawing>
          <wp:inline distT="0" distB="0" distL="0" distR="0">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84000" cy="1551054"/>
                    </a:xfrm>
                    <a:prstGeom prst="rect">
                      <a:avLst/>
                    </a:prstGeom>
                    <a:ln/>
                  </pic:spPr>
                </pic:pic>
              </a:graphicData>
            </a:graphic>
          </wp:inline>
        </w:drawing>
      </w:r>
    </w:p>
    <w:p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lastRenderedPageBreak/>
        <w:t>3.1.2. Processo di produzione e gestione - Creazione</w:t>
      </w:r>
    </w:p>
    <w:p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rsidR="00047104" w:rsidRDefault="001C7CB0">
      <w:pPr>
        <w:spacing w:before="120" w:after="120" w:line="288" w:lineRule="auto"/>
        <w:jc w:val="both"/>
        <w:rPr>
          <w:highlight w:val="white"/>
        </w:rPr>
      </w:pPr>
      <w:r>
        <w:rPr>
          <w:highlight w:val="white"/>
        </w:rPr>
        <w:t>Nella fase di creazione, il documento:</w:t>
      </w:r>
    </w:p>
    <w:p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5"/>
      </w:r>
      <w:r>
        <w:rPr>
          <w:highlight w:val="white"/>
        </w:rPr>
        <w:t xml:space="preserve">, al fine di garantire la loro non alterabilità durante le fasi di accesso e conservazione e l’immutabilità nel tempo del contenuto e della struttura. </w:t>
      </w:r>
    </w:p>
    <w:p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6"/>
      </w:r>
      <w:r>
        <w:rPr>
          <w:highlight w:val="white"/>
        </w:rPr>
        <w:t>.</w:t>
      </w:r>
    </w:p>
    <w:p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rsidR="00047104" w:rsidRDefault="001C7CB0">
      <w:pPr>
        <w:spacing w:before="120" w:after="120" w:line="288" w:lineRule="auto"/>
        <w:jc w:val="both"/>
        <w:rPr>
          <w:highlight w:val="white"/>
        </w:rPr>
      </w:pPr>
      <w:r>
        <w:rPr>
          <w:highlight w:val="white"/>
        </w:rPr>
        <w:t xml:space="preserve">Nella fase di registrazione l’operatore di protocollo provvede: </w:t>
      </w:r>
    </w:p>
    <w:p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7"/>
      </w:r>
      <w:r>
        <w:rPr>
          <w:color w:val="000000"/>
          <w:highlight w:val="white"/>
        </w:rPr>
        <w:t xml:space="preserve">; </w:t>
      </w:r>
    </w:p>
    <w:p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047104" w:rsidRDefault="001C7CB0">
      <w:pPr>
        <w:spacing w:before="120" w:after="120" w:line="288" w:lineRule="auto"/>
        <w:jc w:val="both"/>
        <w:rPr>
          <w:highlight w:val="white"/>
        </w:rPr>
      </w:pPr>
      <w:r>
        <w:rPr>
          <w:noProof/>
          <w:highlight w:val="white"/>
        </w:rPr>
        <w:lastRenderedPageBreak/>
        <w:drawing>
          <wp:inline distT="0" distB="0" distL="0" distR="0">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84000" cy="1916105"/>
                    </a:xfrm>
                    <a:prstGeom prst="rect">
                      <a:avLst/>
                    </a:prstGeom>
                    <a:ln/>
                  </pic:spPr>
                </pic:pic>
              </a:graphicData>
            </a:graphic>
          </wp:inline>
        </w:drawing>
      </w:r>
    </w:p>
    <w:p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rsidR="00047104" w:rsidRDefault="001C7CB0">
      <w:pPr>
        <w:spacing w:before="120" w:after="120" w:line="288" w:lineRule="auto"/>
        <w:jc w:val="both"/>
      </w:pPr>
      <w:r>
        <w:t>Il titolario unico di classificazione</w:t>
      </w:r>
      <w:r>
        <w:rPr>
          <w:highlight w:val="white"/>
        </w:rPr>
        <w:t xml:space="preserve">, </w:t>
      </w:r>
      <w:r w:rsidR="000F145B" w:rsidRPr="00D51119">
        <w:t>di cui all’</w:t>
      </w:r>
      <w:r w:rsidRPr="00D51119">
        <w:t>allegato (7.2), è l’insieme</w:t>
      </w:r>
      <w:r>
        <w:t xml:space="preserv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rsidR="00047104" w:rsidRDefault="001C7CB0">
      <w:pPr>
        <w:spacing w:before="120" w:after="120" w:line="288" w:lineRule="auto"/>
        <w:jc w:val="both"/>
      </w:pPr>
      <w:r>
        <w:t>La classificazione, necessaria e fondamentale, è prodromica all’inserzione di un documento all’interno di un determinato fascicolo.</w:t>
      </w:r>
    </w:p>
    <w:p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8"/>
      </w:r>
      <w:r>
        <w:rPr>
          <w:highlight w:val="white"/>
        </w:rPr>
        <w:t xml:space="preserve">: </w:t>
      </w:r>
    </w:p>
    <w:p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al cui interno vengono compresi documenti relativi a una competenza non proceduralizzata, ma che, nella consuetudine amministrativa, l’Istituzione scolastica deve concretamente portare a buon fine. Il fascicolo per affare ha una data di apertura e una durata circoscritta. Esso, infatti, viene chiuso alla chiusura dell’affare;</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lastRenderedPageBreak/>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19"/>
      </w:r>
      <w:r>
        <w:rPr>
          <w:color w:val="000000"/>
          <w:highlight w:val="white"/>
        </w:rPr>
        <w:t>.</w:t>
      </w:r>
    </w:p>
    <w:p w:rsidR="00047104" w:rsidRDefault="001C7CB0">
      <w:pPr>
        <w:spacing w:before="120" w:after="120" w:line="288" w:lineRule="auto"/>
        <w:jc w:val="both"/>
        <w:rPr>
          <w:highlight w:val="white"/>
        </w:rPr>
      </w:pPr>
      <w:r>
        <w:rPr>
          <w:highlight w:val="white"/>
        </w:rPr>
        <w:t xml:space="preserve">All’interno dei fascicoli è possibile creare dei sotto-fascicoli. </w:t>
      </w:r>
    </w:p>
    <w:p w:rsidR="00047104" w:rsidRDefault="001C7CB0">
      <w:pPr>
        <w:spacing w:before="120" w:after="120" w:line="288" w:lineRule="auto"/>
        <w:jc w:val="both"/>
      </w:pPr>
      <w:r>
        <w:t xml:space="preserve">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w:t>
      </w:r>
      <w:r w:rsidRPr="00D51119">
        <w:t>all’Allegato (7.3).</w:t>
      </w:r>
      <w:r>
        <w:t xml:space="preserve">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0"/>
      </w:r>
      <w:r>
        <w:t>:</w:t>
      </w:r>
    </w:p>
    <w:p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rsidR="00047104" w:rsidRDefault="001C7CB0">
      <w:pPr>
        <w:spacing w:before="120" w:after="120" w:line="288" w:lineRule="auto"/>
        <w:jc w:val="both"/>
      </w:pPr>
      <w:r>
        <w:t xml:space="preserve">Il fascicolo di norma viene aperto all’ultimo livello della struttura gerarchica del titolario. In alcuni casi, è possibile utilizzare anche il primo livello (titolo), come per i fascicoli di persona fisica. </w:t>
      </w:r>
    </w:p>
    <w:p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rsidR="00047104" w:rsidRDefault="001C7CB0">
      <w:pPr>
        <w:numPr>
          <w:ilvl w:val="0"/>
          <w:numId w:val="2"/>
        </w:numPr>
        <w:pBdr>
          <w:top w:val="nil"/>
          <w:left w:val="nil"/>
          <w:bottom w:val="nil"/>
          <w:right w:val="nil"/>
          <w:between w:val="nil"/>
        </w:pBdr>
        <w:spacing w:after="0" w:line="288" w:lineRule="auto"/>
        <w:jc w:val="both"/>
      </w:pPr>
      <w:r>
        <w:rPr>
          <w:color w:val="000000"/>
        </w:rPr>
        <w:lastRenderedPageBreak/>
        <w:t>collegano la registrazione di protocollo del documento al fascicolo selezionato (se si tratta di un documento su supporto cartaceo, assicurano l’inserimento fisico dello stesso nel relativo carteggio);</w:t>
      </w:r>
    </w:p>
    <w:p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rsidR="00047104" w:rsidRDefault="001C7CB0">
      <w:pPr>
        <w:numPr>
          <w:ilvl w:val="0"/>
          <w:numId w:val="2"/>
        </w:numPr>
        <w:pBdr>
          <w:top w:val="nil"/>
          <w:left w:val="nil"/>
          <w:bottom w:val="nil"/>
          <w:right w:val="nil"/>
          <w:between w:val="nil"/>
        </w:pBdr>
        <w:spacing w:after="0" w:line="288" w:lineRule="auto"/>
        <w:jc w:val="both"/>
      </w:pPr>
      <w:r>
        <w:rPr>
          <w:color w:val="000000"/>
        </w:rPr>
        <w:t>eseguono l’operazione di apertura del fascicolo di cui al paragrafo precedente;</w:t>
      </w:r>
    </w:p>
    <w:p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rsidR="00047104" w:rsidRDefault="001C7CB0">
      <w:r>
        <w:t>Il repertorio dei fascicoli è costantemente aggiornato.</w:t>
      </w:r>
    </w:p>
    <w:p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1"/>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rsidR="00047104" w:rsidRDefault="001C7CB0">
      <w:pPr>
        <w:jc w:val="both"/>
      </w:pPr>
      <w:r>
        <w:t>Specifiche indicazioni in merito alle modalità di inserimento dei documenti nelle aggregazioni documentali, sono contenute nell’Appendice “</w:t>
      </w:r>
      <w:r>
        <w:rPr>
          <w:i/>
        </w:rPr>
        <w:t xml:space="preserve">Focus sulle aggregazioni documentali delle </w:t>
      </w:r>
      <w:r>
        <w:rPr>
          <w:i/>
        </w:rPr>
        <w:lastRenderedPageBreak/>
        <w:t>Istituzioni scolastiche</w:t>
      </w:r>
      <w:r>
        <w:t xml:space="preserve">” alle “Linee guida per la gestione documentale nelle Istituzioni scolastiche”. </w:t>
      </w:r>
    </w:p>
    <w:p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2"/>
      </w:r>
      <w:r>
        <w:t>:</w:t>
      </w:r>
    </w:p>
    <w:p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rsidR="00047104" w:rsidRDefault="001C7CB0">
      <w:pPr>
        <w:numPr>
          <w:ilvl w:val="0"/>
          <w:numId w:val="11"/>
        </w:numPr>
        <w:pBdr>
          <w:top w:val="nil"/>
          <w:left w:val="nil"/>
          <w:bottom w:val="nil"/>
          <w:right w:val="nil"/>
          <w:between w:val="nil"/>
        </w:pBdr>
        <w:spacing w:after="0" w:line="288" w:lineRule="auto"/>
        <w:jc w:val="both"/>
      </w:pPr>
      <w:r>
        <w:rPr>
          <w:b/>
          <w:color w:val="000000"/>
        </w:rPr>
        <w:t>archivio di deposito</w:t>
      </w:r>
      <w:r>
        <w:rPr>
          <w:color w:val="000000"/>
        </w:rPr>
        <w:t>: riguarda i documenti ancora utili per finalità amministrative o giuridiche, ma non più indispensabili per la trattazione delle attività correnti;</w:t>
      </w:r>
    </w:p>
    <w:p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rsidR="00047104" w:rsidRDefault="001C7CB0">
      <w:pPr>
        <w:spacing w:before="120" w:after="120" w:line="288" w:lineRule="auto"/>
        <w:jc w:val="both"/>
        <w:rPr>
          <w:i/>
          <w:highlight w:val="white"/>
        </w:rPr>
      </w:pPr>
      <w:r>
        <w:rPr>
          <w:i/>
          <w:highlight w:val="white"/>
        </w:rPr>
        <w:t>oppure,</w:t>
      </w:r>
    </w:p>
    <w:p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3"/>
      </w:r>
      <w:r>
        <w:t>, a sua volta integrato con il sistema di classificazione. A tal fine si inserisce lo sfoltimento (attività eseguita nell’archivio corrente).</w:t>
      </w:r>
    </w:p>
    <w:p w:rsidR="00047104" w:rsidRDefault="001C7CB0">
      <w:pPr>
        <w:spacing w:before="120" w:after="120" w:line="288" w:lineRule="auto"/>
        <w:jc w:val="both"/>
      </w:pPr>
      <w:r>
        <w:t xml:space="preserve">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w:t>
      </w:r>
      <w:r>
        <w:lastRenderedPageBreak/>
        <w:t>provvedimento finale oppure non sono strettamente connessi al procedimento (ad es., appunti, promemoria, copie di normativa e documenti di carattere generale).</w:t>
      </w:r>
    </w:p>
    <w:p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4"/>
      </w:r>
      <w:r>
        <w:t>, poiché lo scarto dei documenti dell’archivio della scuola è subordinato all’autorizzazione della Soprintendenza archivistica</w:t>
      </w:r>
      <w:r>
        <w:rPr>
          <w:vertAlign w:val="superscript"/>
        </w:rPr>
        <w:footnoteReference w:id="25"/>
      </w:r>
      <w:r>
        <w:t>. È una forma di scarto anche la cancellazione di documenti elettronici.</w:t>
      </w:r>
    </w:p>
    <w:p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rsidR="00047104" w:rsidRDefault="001C7CB0">
      <w:pPr>
        <w:spacing w:before="120" w:after="120" w:line="288" w:lineRule="auto"/>
        <w:jc w:val="both"/>
      </w:pPr>
      <w:r>
        <w:t>In questo contesto, si inserisce la figura del Responsabile della conservazione, i cui compiti sono stati descritti al precedente paragrafo 2.2.</w:t>
      </w:r>
    </w:p>
    <w:p w:rsidR="00047104" w:rsidRDefault="001C7CB0">
      <w:pPr>
        <w:spacing w:before="120" w:after="120" w:line="288" w:lineRule="auto"/>
        <w:jc w:val="both"/>
      </w:pPr>
      <w:bookmarkStart w:id="26" w:name="_heading=h.qsh70q" w:colFirst="0" w:colLast="0"/>
      <w:bookmarkEnd w:id="26"/>
      <w:r>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 xml:space="preserve">Linee Guida </w:t>
      </w:r>
      <w:r>
        <w:rPr>
          <w:i/>
          <w:color w:val="000000"/>
        </w:rPr>
        <w:lastRenderedPageBreak/>
        <w:t>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6"/>
      </w:r>
      <w:r>
        <w:rPr>
          <w:color w:val="000000"/>
        </w:rPr>
        <w:t>, avuto riguardo all'esigenza di assicurare la conformità dei documenti conservati agli originali nonché la qualità e la sicurezza del sistem</w:t>
      </w:r>
      <w:r>
        <w:rPr>
          <w:color w:val="000000"/>
          <w:highlight w:val="white"/>
        </w:rPr>
        <w:t>a di conservazione.</w:t>
      </w:r>
    </w:p>
    <w:p w:rsidR="00047104" w:rsidRPr="00022D06" w:rsidRDefault="001C7CB0">
      <w:pPr>
        <w:spacing w:before="120" w:after="120" w:line="288" w:lineRule="auto"/>
        <w:jc w:val="both"/>
      </w:pPr>
      <w:r>
        <w:rPr>
          <w:highlight w:val="white"/>
        </w:rPr>
        <w:t xml:space="preserve">Per la conservazione dei documenti informatici, l’Istituzione scolastica si </w:t>
      </w:r>
      <w:r w:rsidRPr="00022D06">
        <w:t xml:space="preserve">avvale del modello </w:t>
      </w:r>
      <w:r w:rsidR="000F145B" w:rsidRPr="00022D06">
        <w:t xml:space="preserve">proposto dal sistema di gestione. </w:t>
      </w:r>
    </w:p>
    <w:p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rsidR="00047104" w:rsidRDefault="001C7CB0">
      <w:pPr>
        <w:keepNext/>
        <w:keepLines/>
        <w:pBdr>
          <w:top w:val="nil"/>
          <w:left w:val="nil"/>
          <w:bottom w:val="nil"/>
          <w:right w:val="nil"/>
          <w:between w:val="nil"/>
        </w:pBdr>
        <w:spacing w:before="60" w:after="60"/>
        <w:rPr>
          <w:b/>
          <w:smallCaps/>
          <w:color w:val="4B91D1"/>
        </w:rPr>
      </w:pPr>
      <w:bookmarkStart w:id="28" w:name="_heading=h.1pxezwc" w:colFirst="0" w:colLast="0"/>
      <w:bookmarkEnd w:id="28"/>
      <w:r>
        <w:rPr>
          <w:b/>
          <w:smallCaps/>
          <w:color w:val="4B91D1"/>
        </w:rPr>
        <w:t>3.2.1. Versamento in archivio di deposito</w:t>
      </w:r>
    </w:p>
    <w:p w:rsidR="00047104" w:rsidRDefault="001C7CB0">
      <w:pPr>
        <w:spacing w:before="120" w:after="120" w:line="288" w:lineRule="auto"/>
        <w:jc w:val="both"/>
      </w:pPr>
      <w:r>
        <w:t>Nella fase di versamento in archivio di deposito</w:t>
      </w:r>
      <w:r>
        <w:rPr>
          <w:vertAlign w:val="superscript"/>
        </w:rPr>
        <w:footnoteReference w:id="27"/>
      </w:r>
      <w:r>
        <w:t xml:space="preserve"> il responsabile per la tenuta degli archivi</w:t>
      </w:r>
      <w:r>
        <w:rPr>
          <w:vertAlign w:val="superscript"/>
        </w:rPr>
        <w:footnoteReference w:id="28"/>
      </w:r>
      <w:r>
        <w:t>:</w:t>
      </w:r>
    </w:p>
    <w:p w:rsidR="00047104" w:rsidRDefault="001C7CB0">
      <w:pPr>
        <w:numPr>
          <w:ilvl w:val="0"/>
          <w:numId w:val="31"/>
        </w:numPr>
        <w:pBdr>
          <w:top w:val="nil"/>
          <w:left w:val="nil"/>
          <w:bottom w:val="nil"/>
          <w:right w:val="nil"/>
          <w:between w:val="nil"/>
        </w:pBdr>
        <w:spacing w:before="120" w:after="0" w:line="288" w:lineRule="auto"/>
        <w:jc w:val="both"/>
      </w:pPr>
      <w:r>
        <w:rPr>
          <w:color w:val="000000"/>
        </w:rPr>
        <w:t>controlla periodicamente tutte le pratiche fascicolate presenti nell’archivio corrente, sia cartaceo che elettronico, al fine di identificare quelle per cui la lavorazione è già stata conclusa e compila una lista della documentazione presente nelle pratiche chiuse;</w:t>
      </w:r>
    </w:p>
    <w:p w:rsidR="00047104" w:rsidRDefault="001C7CB0">
      <w:pPr>
        <w:numPr>
          <w:ilvl w:val="0"/>
          <w:numId w:val="31"/>
        </w:numPr>
        <w:pBdr>
          <w:top w:val="nil"/>
          <w:left w:val="nil"/>
          <w:bottom w:val="nil"/>
          <w:right w:val="nil"/>
          <w:between w:val="nil"/>
        </w:pBdr>
        <w:spacing w:after="0" w:line="288" w:lineRule="auto"/>
        <w:jc w:val="both"/>
      </w:pPr>
      <w:r>
        <w:rPr>
          <w:color w:val="000000"/>
        </w:rPr>
        <w:lastRenderedPageBreak/>
        <w:t>provvede allo sfoltimento eliminando l’eventuale carteggio di carattere transitorio e strumentale presente nel fascicolo;</w:t>
      </w:r>
    </w:p>
    <w:p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rsidR="00047104" w:rsidRDefault="001C7CB0">
      <w:pPr>
        <w:spacing w:before="120" w:after="120" w:line="288" w:lineRule="auto"/>
        <w:jc w:val="both"/>
      </w:pPr>
      <w:r>
        <w:t>Di seguito, si fornisce la rappresentazione grafica del processo sopra descritto.</w:t>
      </w:r>
    </w:p>
    <w:p w:rsidR="00047104" w:rsidRDefault="001C7CB0">
      <w:pPr>
        <w:spacing w:before="120" w:after="120" w:line="288" w:lineRule="auto"/>
        <w:jc w:val="both"/>
      </w:pPr>
      <w:r>
        <w:rPr>
          <w:noProof/>
        </w:rPr>
        <w:drawing>
          <wp:inline distT="0" distB="0" distL="0" distR="0">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4000" cy="1809219"/>
                    </a:xfrm>
                    <a:prstGeom prst="rect">
                      <a:avLst/>
                    </a:prstGeom>
                    <a:ln/>
                  </pic:spPr>
                </pic:pic>
              </a:graphicData>
            </a:graphic>
          </wp:inline>
        </w:drawing>
      </w:r>
    </w:p>
    <w:p w:rsidR="00047104" w:rsidRDefault="001C7CB0">
      <w:pPr>
        <w:keepNext/>
        <w:keepLines/>
        <w:pBdr>
          <w:top w:val="nil"/>
          <w:left w:val="nil"/>
          <w:bottom w:val="nil"/>
          <w:right w:val="nil"/>
          <w:between w:val="nil"/>
        </w:pBdr>
        <w:spacing w:before="60" w:after="60"/>
        <w:rPr>
          <w:b/>
          <w:smallCaps/>
          <w:color w:val="4B91D1"/>
        </w:rPr>
      </w:pPr>
      <w:bookmarkStart w:id="29" w:name="_heading=h.49x2ik5" w:colFirst="0" w:colLast="0"/>
      <w:bookmarkEnd w:id="29"/>
      <w:r>
        <w:rPr>
          <w:b/>
          <w:smallCaps/>
          <w:color w:val="4B91D1"/>
        </w:rPr>
        <w:t>3.2.2. Scarto</w:t>
      </w:r>
    </w:p>
    <w:p w:rsidR="00047104" w:rsidRDefault="001C7CB0">
      <w:pPr>
        <w:spacing w:before="120" w:after="120" w:line="288" w:lineRule="auto"/>
        <w:jc w:val="both"/>
      </w:pPr>
      <w:r>
        <w:t>Nell’archivio di deposito si eseguono le attività relative alla fase di scarto in cui il responsabile per la tenuta degli archivi:</w:t>
      </w:r>
    </w:p>
    <w:p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rsidR="00047104" w:rsidRDefault="001C7CB0">
      <w:pPr>
        <w:keepNext/>
        <w:keepLines/>
        <w:pBdr>
          <w:top w:val="nil"/>
          <w:left w:val="nil"/>
          <w:bottom w:val="nil"/>
          <w:right w:val="nil"/>
          <w:between w:val="nil"/>
        </w:pBdr>
        <w:spacing w:before="60" w:after="60"/>
        <w:rPr>
          <w:b/>
          <w:smallCaps/>
          <w:color w:val="4B91D1"/>
        </w:rPr>
      </w:pPr>
      <w:bookmarkStart w:id="30" w:name="_heading=h.2p2csry" w:colFirst="0" w:colLast="0"/>
      <w:bookmarkEnd w:id="30"/>
      <w:r>
        <w:rPr>
          <w:b/>
          <w:smallCaps/>
          <w:color w:val="4B91D1"/>
        </w:rPr>
        <w:t>3.2.3. Versamento in archivio storico</w:t>
      </w:r>
    </w:p>
    <w:p w:rsidR="00047104" w:rsidRDefault="001C7CB0">
      <w:pPr>
        <w:spacing w:before="120" w:after="120" w:line="288" w:lineRule="auto"/>
        <w:jc w:val="both"/>
      </w:pPr>
      <w:r>
        <w:t>Nella fase di versamento in archivio storico</w:t>
      </w:r>
      <w:r>
        <w:rPr>
          <w:vertAlign w:val="superscript"/>
        </w:rPr>
        <w:footnoteReference w:id="29"/>
      </w:r>
      <w:r>
        <w:t>, il responsabile per la tenuta degli archivi:</w:t>
      </w:r>
    </w:p>
    <w:p w:rsidR="00047104" w:rsidRDefault="001C7CB0">
      <w:pPr>
        <w:numPr>
          <w:ilvl w:val="0"/>
          <w:numId w:val="24"/>
        </w:numPr>
        <w:pBdr>
          <w:top w:val="nil"/>
          <w:left w:val="nil"/>
          <w:bottom w:val="nil"/>
          <w:right w:val="nil"/>
          <w:between w:val="nil"/>
        </w:pBdr>
        <w:spacing w:before="120" w:after="0" w:line="288" w:lineRule="auto"/>
        <w:jc w:val="both"/>
      </w:pPr>
      <w:r>
        <w:rPr>
          <w:color w:val="000000"/>
        </w:rPr>
        <w:lastRenderedPageBreak/>
        <w:t>verifica se nell’archivio di deposito esistono pratiche esaurite da oltre 40 anni, sia in forma cartacea che elettronica;</w:t>
      </w:r>
    </w:p>
    <w:p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rsidR="00047104" w:rsidRDefault="001C7CB0">
      <w:pPr>
        <w:keepNext/>
        <w:keepLines/>
        <w:pBdr>
          <w:top w:val="nil"/>
          <w:left w:val="nil"/>
          <w:bottom w:val="nil"/>
          <w:right w:val="nil"/>
          <w:between w:val="nil"/>
        </w:pBdr>
        <w:spacing w:before="60" w:after="60"/>
        <w:rPr>
          <w:b/>
          <w:smallCaps/>
          <w:color w:val="4B91D1"/>
        </w:rPr>
      </w:pPr>
      <w:bookmarkStart w:id="31" w:name="_heading=h.147n2zr" w:colFirst="0" w:colLast="0"/>
      <w:bookmarkEnd w:id="31"/>
      <w:r>
        <w:rPr>
          <w:b/>
          <w:smallCaps/>
          <w:color w:val="4B91D1"/>
        </w:rPr>
        <w:t>3.2.4. Delocalizzazione</w:t>
      </w:r>
    </w:p>
    <w:p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rsidR="00047104" w:rsidRDefault="001C7CB0">
      <w:pPr>
        <w:spacing w:before="120" w:after="120" w:line="288" w:lineRule="auto"/>
        <w:jc w:val="both"/>
      </w:pPr>
      <w:r>
        <w:t>L’addetto competente:</w:t>
      </w:r>
    </w:p>
    <w:p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rsidR="00047104" w:rsidRDefault="001C7CB0">
      <w:pPr>
        <w:numPr>
          <w:ilvl w:val="0"/>
          <w:numId w:val="26"/>
        </w:numPr>
        <w:pBdr>
          <w:top w:val="nil"/>
          <w:left w:val="nil"/>
          <w:bottom w:val="nil"/>
          <w:right w:val="nil"/>
          <w:between w:val="nil"/>
        </w:pBdr>
        <w:spacing w:after="120" w:line="288" w:lineRule="auto"/>
        <w:jc w:val="both"/>
      </w:pPr>
      <w:r>
        <w:rPr>
          <w:color w:val="000000"/>
        </w:rPr>
        <w:t>autorizza la delocalizzazione della documentazione presso una struttura interna nel caso in cui questa sia disponibile.</w:t>
      </w:r>
    </w:p>
    <w:p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2" w:name="_heading=h.3o7alnk" w:colFirst="0" w:colLast="0"/>
      <w:bookmarkEnd w:id="32"/>
      <w:r>
        <w:rPr>
          <w:b/>
          <w:smallCaps/>
          <w:color w:val="1F497D"/>
          <w:sz w:val="28"/>
          <w:szCs w:val="28"/>
        </w:rPr>
        <w:t>Il documento amministrativo</w:t>
      </w:r>
    </w:p>
    <w:p w:rsidR="00047104" w:rsidRDefault="001C7CB0">
      <w:pPr>
        <w:spacing w:before="120" w:after="120" w:line="288" w:lineRule="auto"/>
        <w:jc w:val="both"/>
      </w:pPr>
      <w:bookmarkStart w:id="33" w:name="_heading=h.23ckvvd" w:colFirst="0" w:colLast="0"/>
      <w:bookmarkEnd w:id="33"/>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rsidR="00047104" w:rsidRDefault="001C7CB0">
      <w:pPr>
        <w:spacing w:before="120" w:after="120" w:line="288" w:lineRule="auto"/>
        <w:jc w:val="both"/>
      </w:pPr>
      <w:r>
        <w:t>Nell’ambito del processo di gestione documentale, il documento amministrativo dal punto di vista operativo è classificabile in documento:</w:t>
      </w:r>
    </w:p>
    <w:p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rsidR="00047104" w:rsidRDefault="001C7CB0">
      <w:pPr>
        <w:spacing w:before="120" w:after="120" w:line="288" w:lineRule="auto"/>
      </w:pPr>
      <w:r>
        <w:t>In base alla natura, invece, è classificabile in documento:</w:t>
      </w:r>
    </w:p>
    <w:p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lastRenderedPageBreak/>
        <w:t>analogico;</w:t>
      </w:r>
    </w:p>
    <w:p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rsidR="00047104" w:rsidRDefault="001C7CB0">
      <w:pPr>
        <w:spacing w:before="120" w:after="120" w:line="288" w:lineRule="auto"/>
        <w:jc w:val="both"/>
      </w:pPr>
      <w:r>
        <w:t>Per ciò che concerne la trasmissione dei documenti tra Pubbliche Amministrazioni, ai sensi di quanto disposto dall’art. 47 del CAD, essa deve avvenire:</w:t>
      </w:r>
    </w:p>
    <w:p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0"/>
      </w:r>
      <w:r>
        <w:rPr>
          <w:color w:val="000000"/>
        </w:rPr>
        <w:t xml:space="preserve">; </w:t>
      </w:r>
      <w:r>
        <w:rPr>
          <w:i/>
          <w:color w:val="000000"/>
        </w:rPr>
        <w:t>ovvero</w:t>
      </w:r>
    </w:p>
    <w:p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4" w:name="_heading=h.ihv636" w:colFirst="0" w:colLast="0"/>
      <w:bookmarkEnd w:id="34"/>
      <w:r>
        <w:rPr>
          <w:b/>
          <w:smallCaps/>
          <w:color w:val="2A6CA8"/>
        </w:rPr>
        <w:t>4.1. Documento ricevuto</w:t>
      </w:r>
    </w:p>
    <w:p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1"/>
      </w:r>
      <w:r>
        <w:t>:</w:t>
      </w:r>
    </w:p>
    <w:p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rsidR="00047104" w:rsidRDefault="001C7CB0">
      <w:pPr>
        <w:spacing w:before="120" w:after="120" w:line="288" w:lineRule="auto"/>
        <w:jc w:val="both"/>
        <w:rPr>
          <w:highlight w:val="white"/>
        </w:rPr>
      </w:pPr>
      <w:r>
        <w:rPr>
          <w:highlight w:val="white"/>
        </w:rPr>
        <w:lastRenderedPageBreak/>
        <w:t>I documenti, analogici o digitali, di cui non sia identificabile l’autore sono regolarmente aperti e registrati al protocollo (con indicazione “Mittente anonimo”), salvo diversa valutazione del Dirigente Scolastico, che provvederà ad eventuali accertamenti.</w:t>
      </w:r>
    </w:p>
    <w:p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2"/>
      </w:r>
      <w:r>
        <w:rPr>
          <w:color w:val="000000"/>
        </w:rP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32hioqz" w:colFirst="0" w:colLast="0"/>
      <w:bookmarkEnd w:id="35"/>
      <w:r>
        <w:rPr>
          <w:b/>
          <w:smallCaps/>
          <w:color w:val="2A6CA8"/>
        </w:rPr>
        <w:t>4.2. Documento inviato</w:t>
      </w:r>
    </w:p>
    <w:p w:rsidR="00047104" w:rsidRDefault="001C7CB0">
      <w:bookmarkStart w:id="36" w:name="_heading=h.1hmsyys" w:colFirst="0" w:colLast="0"/>
      <w:bookmarkEnd w:id="36"/>
      <w:r>
        <w:t>I documenti informatici sono inviati all’indirizzo elettronico dichiarato dai destinatari, abilitato alla ricezione della posta per via telematica.</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7" w:name="_heading=h.41mghml" w:colFirst="0" w:colLast="0"/>
      <w:bookmarkEnd w:id="37"/>
      <w:r>
        <w:rPr>
          <w:b/>
          <w:smallCaps/>
          <w:color w:val="2A6CA8"/>
        </w:rPr>
        <w:t>4.3. Documento di rilevanza esterna</w:t>
      </w:r>
    </w:p>
    <w:p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2grqrue" w:colFirst="0" w:colLast="0"/>
      <w:bookmarkEnd w:id="38"/>
      <w:r>
        <w:rPr>
          <w:b/>
          <w:smallCaps/>
          <w:color w:val="2A6CA8"/>
        </w:rPr>
        <w:t>4.4. Documento di rilevanza interna</w:t>
      </w:r>
    </w:p>
    <w:p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rsidR="00047104" w:rsidRDefault="001C7CB0">
      <w:pPr>
        <w:spacing w:before="120" w:after="120" w:line="288" w:lineRule="auto"/>
        <w:jc w:val="both"/>
      </w:pPr>
      <w:r>
        <w:t>Possono distinguersi in:</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t>comunicazioni informali tra UOR</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rsidR="00047104" w:rsidRDefault="001C7CB0">
      <w:pPr>
        <w:numPr>
          <w:ilvl w:val="0"/>
          <w:numId w:val="11"/>
        </w:numPr>
        <w:pBdr>
          <w:top w:val="nil"/>
          <w:left w:val="nil"/>
          <w:bottom w:val="nil"/>
          <w:right w:val="nil"/>
          <w:between w:val="nil"/>
        </w:pBdr>
        <w:spacing w:after="120" w:line="288" w:lineRule="auto"/>
        <w:jc w:val="both"/>
      </w:pPr>
      <w:r>
        <w:rPr>
          <w:b/>
          <w:color w:val="000000"/>
        </w:rPr>
        <w:t>scambio di documenti fra UOR</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vx1227" w:colFirst="0" w:colLast="0"/>
      <w:bookmarkEnd w:id="39"/>
      <w:r>
        <w:rPr>
          <w:b/>
          <w:smallCaps/>
          <w:color w:val="2A6CA8"/>
        </w:rPr>
        <w:t>4.5. Documento analogico</w:t>
      </w:r>
    </w:p>
    <w:p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3"/>
      </w:r>
      <w:r>
        <w:t>.</w:t>
      </w:r>
    </w:p>
    <w:p w:rsidR="00047104" w:rsidRDefault="001C7CB0">
      <w:pPr>
        <w:spacing w:before="120" w:after="120" w:line="288" w:lineRule="auto"/>
        <w:jc w:val="both"/>
      </w:pPr>
      <w:r>
        <w:lastRenderedPageBreak/>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4"/>
      </w:r>
      <w:r>
        <w:t>.</w:t>
      </w:r>
    </w:p>
    <w:p w:rsidR="00047104" w:rsidRDefault="001C7CB0">
      <w:pPr>
        <w:spacing w:before="120" w:after="120" w:line="288" w:lineRule="auto"/>
        <w:jc w:val="both"/>
      </w:pPr>
      <w:r>
        <w:t>La sottoscrizione di un documento determina:</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1" w:name="_heading=h.3fwokq0" w:colFirst="0" w:colLast="0"/>
      <w:bookmarkEnd w:id="41"/>
      <w:r>
        <w:rPr>
          <w:b/>
          <w:smallCaps/>
          <w:color w:val="2A6CA8"/>
        </w:rPr>
        <w:t>4.6. Documento informatico</w:t>
      </w:r>
    </w:p>
    <w:p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5"/>
      </w:r>
      <w:r>
        <w:t>. Il documento informatico, come precisato nel paragrafo 2.1.1. delle “</w:t>
      </w:r>
      <w:r>
        <w:rPr>
          <w:i/>
        </w:rPr>
        <w:t>Linee Guida</w:t>
      </w:r>
      <w:r w:rsidR="009D1D66">
        <w:rPr>
          <w:i/>
        </w:rPr>
        <w:t xml:space="preserve"> </w:t>
      </w:r>
      <w:r>
        <w:rPr>
          <w:i/>
        </w:rPr>
        <w:t>sulla formazione, gestione e conservazione dei documenti informatici</w:t>
      </w:r>
      <w:r>
        <w:t>” emanate da AgID, è formato mediante una delle seguenti modalità:</w:t>
      </w:r>
    </w:p>
    <w:p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rsidR="00022D06">
        <w:rPr>
          <w:i/>
        </w:rPr>
        <w:t xml:space="preserve"> </w:t>
      </w:r>
      <w:r>
        <w:rPr>
          <w:i/>
        </w:rPr>
        <w:t>di un documento analogico;</w:t>
      </w:r>
    </w:p>
    <w:p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rsidR="00047104" w:rsidRDefault="001C7CB0">
      <w:pPr>
        <w:spacing w:before="120" w:after="120" w:line="288" w:lineRule="auto"/>
        <w:jc w:val="both"/>
      </w:pPr>
      <w:r>
        <w:rPr>
          <w:i/>
        </w:rPr>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rsidR="00047104" w:rsidRDefault="001C7CB0">
      <w:pPr>
        <w:spacing w:before="120" w:after="120" w:line="288" w:lineRule="auto"/>
        <w:jc w:val="both"/>
        <w:rPr>
          <w:highlight w:val="white"/>
        </w:rPr>
      </w:pPr>
      <w:bookmarkStart w:id="42" w:name="_heading=h.1v1yuxt" w:colFirst="0" w:colLast="0"/>
      <w:bookmarkEnd w:id="42"/>
      <w:r>
        <w:t xml:space="preserve">Al momento della formazione del documento informatico immodificabile, devono essere generati e associati permanentemente ad esso i relativi metadati. L’insieme dei metadati </w:t>
      </w:r>
      <w:r>
        <w:lastRenderedPageBreak/>
        <w:t>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rsidR="00047104" w:rsidRDefault="001C7CB0">
      <w:pPr>
        <w:keepNext/>
        <w:keepLines/>
        <w:pBdr>
          <w:top w:val="nil"/>
          <w:left w:val="nil"/>
          <w:bottom w:val="nil"/>
          <w:right w:val="nil"/>
          <w:between w:val="nil"/>
        </w:pBdr>
        <w:spacing w:before="60" w:after="60"/>
        <w:rPr>
          <w:b/>
          <w:smallCaps/>
          <w:color w:val="4B91D1"/>
        </w:rPr>
      </w:pPr>
      <w:bookmarkStart w:id="43" w:name="_heading=h.4f1mdlm" w:colFirst="0" w:colLast="0"/>
      <w:bookmarkEnd w:id="43"/>
      <w:r>
        <w:rPr>
          <w:b/>
          <w:smallCaps/>
          <w:color w:val="4B91D1"/>
        </w:rPr>
        <w:t>4.6.1. Le firme elettroniche</w:t>
      </w:r>
    </w:p>
    <w:p w:rsidR="00047104" w:rsidRDefault="001C7CB0">
      <w:pPr>
        <w:spacing w:before="120" w:after="120" w:line="288" w:lineRule="auto"/>
        <w:jc w:val="both"/>
      </w:pPr>
      <w:r>
        <w:t xml:space="preserve">La firma elettronica costituisce la modalità ordinaria di firma dei documenti informatici. </w:t>
      </w:r>
    </w:p>
    <w:p w:rsidR="00047104" w:rsidRDefault="001C7CB0">
      <w:pPr>
        <w:spacing w:before="120" w:after="120" w:line="288" w:lineRule="auto"/>
        <w:jc w:val="both"/>
      </w:pPr>
      <w:bookmarkStart w:id="44" w:name="_heading=h.2u6wntf" w:colFirst="0" w:colLast="0"/>
      <w:bookmarkEnd w:id="44"/>
      <w:r>
        <w:t>In particolare, la normativa vigente in materia individua diverse tipologie di sottoscrizione elettronica:</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rsidR="00047104" w:rsidRDefault="001C7CB0">
      <w:pPr>
        <w:spacing w:before="120" w:after="120" w:line="288" w:lineRule="auto"/>
        <w:jc w:val="both"/>
      </w:pPr>
      <w:r>
        <w:t>Si tenga conto, altresì, che secondo quanto stabilito dall’art. 24, comma 4-</w:t>
      </w:r>
      <w:r>
        <w:rPr>
          <w:i/>
        </w:rPr>
        <w:t>bis</w:t>
      </w:r>
      <w:r>
        <w:t xml:space="preserve">, del CAD, qualora ad un documento informatico sia apposta una firma digitale o un altro tipo di firma elettronica qualificata basata su un certificato elettronico revocato, scaduto o sospeso, il documento si ha </w:t>
      </w:r>
      <w:r>
        <w:lastRenderedPageBreak/>
        <w:t>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6"/>
      </w:r>
      <w:r>
        <w:rPr>
          <w:color w:val="000000"/>
        </w:rPr>
        <w:t>, ovvero fanno piena prova fino a querela di falso;</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7"/>
      </w:r>
      <w:r>
        <w:rPr>
          <w:color w:val="000000"/>
        </w:rPr>
        <w:t>.</w:t>
      </w:r>
    </w:p>
    <w:p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8"/>
      </w:r>
      <w:r>
        <w:t>.</w:t>
      </w:r>
    </w:p>
    <w:p w:rsidR="00047104" w:rsidRDefault="001C7CB0">
      <w:pPr>
        <w:spacing w:before="120" w:after="120" w:line="288" w:lineRule="auto"/>
        <w:jc w:val="both"/>
      </w:pPr>
      <w:r>
        <w:lastRenderedPageBreak/>
        <w:t>Il CAD</w:t>
      </w:r>
      <w:r>
        <w:rPr>
          <w:vertAlign w:val="superscript"/>
        </w:rPr>
        <w:footnoteReference w:id="39"/>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0"/>
      </w:r>
    </w:p>
    <w:p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1"/>
      </w:r>
      <w:r>
        <w:t>.</w:t>
      </w:r>
    </w:p>
    <w:p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6" w:name="_heading=h.19c6y18" w:colFirst="0" w:colLast="0"/>
      <w:bookmarkEnd w:id="46"/>
      <w:r>
        <w:rPr>
          <w:b/>
          <w:smallCaps/>
          <w:color w:val="2A6CA8"/>
        </w:rPr>
        <w:t>4.7. Contenuti minimi dei documenti</w:t>
      </w:r>
    </w:p>
    <w:p w:rsidR="00047104" w:rsidRDefault="001C7CB0">
      <w:pPr>
        <w:spacing w:before="120" w:after="120" w:line="288" w:lineRule="auto"/>
        <w:jc w:val="both"/>
      </w:pPr>
      <w:bookmarkStart w:id="47" w:name="_heading=h.3tbugp1" w:colFirst="0" w:colLast="0"/>
      <w:bookmarkEnd w:id="47"/>
      <w:r>
        <w:t>Occorre che i documenti amministrativi, sia analogici che informatici, aventi rilevanza esterna, contengano le seguenti informazioni:</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rsidR="00047104" w:rsidRDefault="001C7CB0">
      <w:pPr>
        <w:spacing w:before="120" w:after="120" w:line="288" w:lineRule="auto"/>
        <w:jc w:val="both"/>
      </w:pPr>
      <w:r>
        <w:t>Inoltre, il documento deve recare almeno le seguenti informazioni:</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rsidR="00047104" w:rsidRDefault="001C7CB0">
      <w:pPr>
        <w:spacing w:before="120" w:after="120" w:line="288" w:lineRule="auto"/>
        <w:jc w:val="both"/>
        <w:rPr>
          <w:color w:val="000000"/>
        </w:rPr>
      </w:pPr>
      <w:r>
        <w:rPr>
          <w:color w:val="000000"/>
        </w:rPr>
        <w:lastRenderedPageBreak/>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2"/>
      </w:r>
      <w:r>
        <w:rPr>
          <w:color w:val="000000"/>
        </w:rPr>
        <w:t>, a ciascuna Istituzione scolastica spetta l'onere di specificare con precisione gli estremi di registrazione di un documento sui propri sistemi di protocollo.</w:t>
      </w:r>
    </w:p>
    <w:p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3"/>
      </w:r>
      <w:r>
        <w:rPr>
          <w:color w:val="000000"/>
        </w:rPr>
        <w:t>. Ciò perché prerequisito essenziale del pieno godimento del diritto all’accesso agli atti è la reperibilità di quest’ultimi che è assicurata da una corretta e standardizzata definizione/trascrizione dell’oggetto.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8" w:name="_heading=h.28h4qwu" w:colFirst="0" w:colLast="0"/>
      <w:bookmarkEnd w:id="48"/>
      <w:r>
        <w:rPr>
          <w:b/>
          <w:smallCaps/>
          <w:color w:val="2A6CA8"/>
        </w:rPr>
        <w:t>4.8. Protocollabilità di un documento</w:t>
      </w:r>
    </w:p>
    <w:p w:rsidR="00047104" w:rsidRDefault="001C7CB0">
      <w:pPr>
        <w:spacing w:before="120" w:after="120" w:line="288" w:lineRule="auto"/>
        <w:jc w:val="both"/>
      </w:pPr>
      <w:bookmarkStart w:id="49" w:name="_heading=h.nmf14n" w:colFirst="0" w:colLast="0"/>
      <w:bookmarkEnd w:id="49"/>
      <w:r>
        <w:t>Sono oggetto di registrazione obbligatoria, ai sensi dell’art. 53, comma 5, del D.P.R. n. 445 del 2000, i documenti ricevuti e spediti dall'amministrazione e tutti i documenti informatici</w:t>
      </w:r>
      <w:r>
        <w:rPr>
          <w:vertAlign w:val="superscript"/>
        </w:rPr>
        <w:footnoteReference w:id="44"/>
      </w:r>
      <w:r>
        <w:t>.</w:t>
      </w:r>
    </w:p>
    <w:p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5"/>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rsidR="00047104" w:rsidRDefault="001C7CB0">
      <w:pPr>
        <w:spacing w:before="120" w:after="120" w:line="288" w:lineRule="auto"/>
        <w:jc w:val="both"/>
      </w:pPr>
      <w:r>
        <w:t>Sono invece esclusi dalla registrazione obbligatoria</w:t>
      </w:r>
      <w:r>
        <w:rPr>
          <w:vertAlign w:val="superscript"/>
        </w:rPr>
        <w:footnoteReference w:id="46"/>
      </w:r>
      <w:r>
        <w:t>:</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lastRenderedPageBreak/>
        <w:t>gli inviti a manifestazioni;</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rsidR="00047104" w:rsidRDefault="001C7CB0">
      <w:pPr>
        <w:spacing w:before="120" w:after="120" w:line="288" w:lineRule="auto"/>
        <w:jc w:val="both"/>
      </w:pPr>
      <w:r>
        <w:t>Lo strumento per ottenere questo risultato è la “marca temporale”</w:t>
      </w:r>
      <w:r>
        <w:rPr>
          <w:vertAlign w:val="superscript"/>
        </w:rPr>
        <w:footnoteReference w:id="47"/>
      </w:r>
      <w:r>
        <w:t>, ovvero “</w:t>
      </w:r>
      <w:r>
        <w:rPr>
          <w:i/>
        </w:rPr>
        <w:t>il riferimento temporale che consente la validazione temporale e che dimostra l’esistenza di un’evidenza informatica in un tempo certo</w:t>
      </w:r>
      <w:r>
        <w:t>”.</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0" w:name="_heading=h.37m2jsg" w:colFirst="0" w:colLast="0"/>
      <w:bookmarkEnd w:id="50"/>
      <w:r>
        <w:rPr>
          <w:b/>
          <w:smallCaps/>
          <w:color w:val="1F497D"/>
          <w:sz w:val="28"/>
          <w:szCs w:val="28"/>
        </w:rPr>
        <w:t>Il protocollo informatico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1" w:name="_heading=h.1mrcu09" w:colFirst="0" w:colLast="0"/>
      <w:bookmarkEnd w:id="51"/>
      <w:r>
        <w:rPr>
          <w:b/>
          <w:smallCaps/>
          <w:color w:val="2A6CA8"/>
        </w:rPr>
        <w:t>5.1. Protocollazione</w:t>
      </w:r>
    </w:p>
    <w:p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rsidR="00047104" w:rsidRDefault="001C7CB0">
      <w:pPr>
        <w:spacing w:before="120" w:after="120" w:line="288" w:lineRule="auto"/>
        <w:jc w:val="both"/>
      </w:pPr>
      <w:r>
        <w:t>I documenti che devono essere registrati a protocollo sono indicati nel paragrafo “4.8. - Protocollabilità di un documento amministrativo”.</w:t>
      </w:r>
    </w:p>
    <w:p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rsidR="00047104" w:rsidRDefault="001C7CB0">
      <w:pPr>
        <w:spacing w:before="120" w:after="120" w:line="288" w:lineRule="auto"/>
        <w:jc w:val="both"/>
      </w:pPr>
      <w:r>
        <w:lastRenderedPageBreak/>
        <w:t>La protocollazione per ogni documento è effettuata mediante la memorizzazione dei seguenti elementi</w:t>
      </w:r>
      <w:r>
        <w:rPr>
          <w:color w:val="000000"/>
          <w:vertAlign w:val="superscript"/>
        </w:rPr>
        <w:footnoteReference w:id="48"/>
      </w:r>
      <w:r>
        <w:t>:</w:t>
      </w:r>
    </w:p>
    <w:p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rsidR="00047104" w:rsidRDefault="001C7CB0">
      <w:pPr>
        <w:numPr>
          <w:ilvl w:val="0"/>
          <w:numId w:val="11"/>
        </w:numPr>
        <w:pBdr>
          <w:top w:val="nil"/>
          <w:left w:val="nil"/>
          <w:bottom w:val="nil"/>
          <w:right w:val="nil"/>
          <w:between w:val="nil"/>
        </w:pBdr>
        <w:spacing w:after="0" w:line="288" w:lineRule="auto"/>
        <w:jc w:val="both"/>
      </w:pPr>
      <w:r>
        <w:rPr>
          <w:color w:val="000000"/>
        </w:rPr>
        <w:t>oggetto del documento, registrato in forma non modificabile;</w:t>
      </w:r>
      <w:r>
        <w:rPr>
          <w:color w:val="000000"/>
        </w:rPr>
        <w:tab/>
      </w:r>
    </w:p>
    <w:p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49"/>
      </w:r>
      <w:r>
        <w:rPr>
          <w:color w:val="000000"/>
        </w:rPr>
        <w:t>.</w:t>
      </w:r>
    </w:p>
    <w:p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3" w:name="_heading=h.46r0co2" w:colFirst="0" w:colLast="0"/>
      <w:bookmarkEnd w:id="53"/>
      <w:r>
        <w:rPr>
          <w:b/>
          <w:smallCaps/>
          <w:color w:val="2A6CA8"/>
        </w:rPr>
        <w:t>5.2. Scrittura di dati di protocollo</w:t>
      </w:r>
    </w:p>
    <w:p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tblPr>
      <w:tblGrid>
        <w:gridCol w:w="2684"/>
        <w:gridCol w:w="6924"/>
      </w:tblGrid>
      <w:tr w:rsidR="00047104" w:rsidTr="00047104">
        <w:trPr>
          <w:cnfStyle w:val="100000000000"/>
          <w:trHeight w:val="20"/>
        </w:trPr>
        <w:tc>
          <w:tcPr>
            <w:cnfStyle w:val="001000000000"/>
            <w:tcW w:w="2684" w:type="dxa"/>
            <w:tcBorders>
              <w:top w:val="nil"/>
              <w:left w:val="nil"/>
              <w:bottom w:val="nil"/>
            </w:tcBorders>
            <w:shd w:val="clear" w:color="auto" w:fill="8EAADB"/>
            <w:vAlign w:val="center"/>
          </w:tcPr>
          <w:p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rsidR="00047104" w:rsidRDefault="001C7CB0">
            <w:pPr>
              <w:spacing w:before="60" w:after="60" w:line="288" w:lineRule="auto"/>
              <w:cnfStyle w:val="100000000000"/>
            </w:pPr>
            <w:r>
              <w:t>REGOLE</w:t>
            </w:r>
          </w:p>
        </w:tc>
      </w:tr>
      <w:tr w:rsidR="00047104" w:rsidTr="00047104">
        <w:trPr>
          <w:cnfStyle w:val="000000100000"/>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Nomi di persona</w:t>
            </w:r>
          </w:p>
        </w:tc>
        <w:tc>
          <w:tcPr>
            <w:tcW w:w="6924" w:type="dxa"/>
            <w:shd w:val="clear" w:color="auto" w:fill="FFFFFF"/>
            <w:vAlign w:val="center"/>
          </w:tcPr>
          <w:p w:rsidR="00047104" w:rsidRDefault="001C7CB0">
            <w:pPr>
              <w:numPr>
                <w:ilvl w:val="7"/>
                <w:numId w:val="37"/>
              </w:numPr>
              <w:pBdr>
                <w:top w:val="nil"/>
                <w:left w:val="nil"/>
                <w:bottom w:val="nil"/>
                <w:right w:val="nil"/>
                <w:between w:val="nil"/>
              </w:pBdr>
              <w:spacing w:before="60" w:after="60" w:line="288" w:lineRule="auto"/>
              <w:ind w:left="172" w:hanging="142"/>
              <w:cnfStyle w:val="000000100000"/>
            </w:pPr>
            <w:r>
              <w:rPr>
                <w:color w:val="000000"/>
              </w:rPr>
              <w:t>Prima il nome e poi il cognome</w:t>
            </w:r>
          </w:p>
          <w:p w:rsidR="00047104" w:rsidRDefault="001C7CB0">
            <w:pPr>
              <w:numPr>
                <w:ilvl w:val="7"/>
                <w:numId w:val="37"/>
              </w:numPr>
              <w:pBdr>
                <w:top w:val="nil"/>
                <w:left w:val="nil"/>
                <w:bottom w:val="nil"/>
                <w:right w:val="nil"/>
                <w:between w:val="nil"/>
              </w:pBdr>
              <w:spacing w:before="60" w:after="60" w:line="288" w:lineRule="auto"/>
              <w:ind w:left="172" w:hanging="142"/>
              <w:cnfStyle w:val="000000100000"/>
            </w:pPr>
            <w:r>
              <w:rPr>
                <w:color w:val="000000"/>
              </w:rPr>
              <w:t>Tutto maiuscolo</w:t>
            </w:r>
          </w:p>
          <w:p w:rsidR="00047104" w:rsidRDefault="001C7CB0">
            <w:pPr>
              <w:spacing w:before="60" w:after="60" w:line="288" w:lineRule="auto"/>
              <w:ind w:left="30"/>
              <w:cnfStyle w:val="000000100000"/>
            </w:pPr>
            <w:r>
              <w:rPr>
                <w:b/>
              </w:rPr>
              <w:t>Esempio</w:t>
            </w:r>
            <w:r>
              <w:t xml:space="preserve">: MARIO ROSSI </w:t>
            </w:r>
          </w:p>
        </w:tc>
      </w:tr>
      <w:tr w:rsidR="00047104" w:rsidTr="00047104">
        <w:trPr>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rsidR="00047104" w:rsidRDefault="001C7CB0">
            <w:pPr>
              <w:spacing w:before="60" w:after="60" w:line="288" w:lineRule="auto"/>
              <w:cnfStyle w:val="000000000000"/>
            </w:pPr>
            <w:r>
              <w:t>Sempre omessi</w:t>
            </w:r>
          </w:p>
        </w:tc>
      </w:tr>
      <w:tr w:rsidR="00047104" w:rsidTr="00047104">
        <w:trPr>
          <w:cnfStyle w:val="000000100000"/>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Nomi di città e di stati</w:t>
            </w:r>
          </w:p>
        </w:tc>
        <w:tc>
          <w:tcPr>
            <w:tcW w:w="6924" w:type="dxa"/>
            <w:shd w:val="clear" w:color="auto" w:fill="FFFFFF"/>
            <w:vAlign w:val="center"/>
          </w:tcPr>
          <w:p w:rsidR="00047104" w:rsidRDefault="001C7CB0">
            <w:pPr>
              <w:spacing w:before="60" w:after="60" w:line="288" w:lineRule="auto"/>
              <w:cnfStyle w:val="000000100000"/>
            </w:pPr>
            <w:r>
              <w:t>In lingua italiana, per esteso e senza puntare</w:t>
            </w:r>
          </w:p>
          <w:p w:rsidR="00047104" w:rsidRDefault="001C7CB0">
            <w:pPr>
              <w:spacing w:before="60" w:after="60" w:line="288" w:lineRule="auto"/>
              <w:cnfStyle w:val="000000100000"/>
            </w:pPr>
            <w:r>
              <w:rPr>
                <w:b/>
              </w:rPr>
              <w:t>Esempio</w:t>
            </w:r>
            <w:r>
              <w:t>: San Vitaliano (Na) e non S. Vitaliano (Na)</w:t>
            </w:r>
          </w:p>
        </w:tc>
      </w:tr>
      <w:tr w:rsidR="00047104" w:rsidTr="00047104">
        <w:trPr>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Nomi di ditte e società</w:t>
            </w:r>
          </w:p>
        </w:tc>
        <w:tc>
          <w:tcPr>
            <w:tcW w:w="6924" w:type="dxa"/>
            <w:shd w:val="clear" w:color="auto" w:fill="FFFFFF"/>
            <w:vAlign w:val="center"/>
          </w:tcPr>
          <w:p w:rsidR="00047104" w:rsidRDefault="001C7CB0">
            <w:pPr>
              <w:spacing w:before="60" w:after="60" w:line="288" w:lineRule="auto"/>
              <w:cnfStyle w:val="000000000000"/>
            </w:pPr>
            <w:r>
              <w:t>- Se riportano nomi di persona valgono le precedenti regole</w:t>
            </w:r>
          </w:p>
          <w:p w:rsidR="00047104" w:rsidRDefault="001C7CB0">
            <w:pPr>
              <w:spacing w:before="60" w:after="60" w:line="288" w:lineRule="auto"/>
              <w:cnfStyle w:val="000000000000"/>
            </w:pPr>
            <w:r>
              <w:t>- Usare sigle, in maiuscolo e senza punti o, in alternativa, acronimi</w:t>
            </w:r>
          </w:p>
          <w:p w:rsidR="00047104" w:rsidRDefault="001C7CB0">
            <w:pPr>
              <w:spacing w:before="60" w:after="60" w:line="288" w:lineRule="auto"/>
              <w:cnfStyle w:val="000000000000"/>
            </w:pPr>
            <w:r>
              <w:lastRenderedPageBreak/>
              <w:t>- La forma societaria senza punti</w:t>
            </w:r>
          </w:p>
          <w:p w:rsidR="00047104" w:rsidRDefault="001C7CB0">
            <w:pPr>
              <w:spacing w:before="60" w:after="60" w:line="288" w:lineRule="auto"/>
              <w:cnfStyle w:val="000000000000"/>
            </w:pPr>
            <w:r>
              <w:rPr>
                <w:b/>
              </w:rPr>
              <w:t>Esempio</w:t>
            </w:r>
            <w:r>
              <w:t>: GIUSEPPE BIANCO, ACME SpA</w:t>
            </w:r>
          </w:p>
        </w:tc>
      </w:tr>
      <w:tr w:rsidR="00047104" w:rsidTr="00047104">
        <w:trPr>
          <w:cnfStyle w:val="000000100000"/>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lastRenderedPageBreak/>
              <w:t>Enti e associazioni in genere</w:t>
            </w:r>
          </w:p>
        </w:tc>
        <w:tc>
          <w:tcPr>
            <w:tcW w:w="6924" w:type="dxa"/>
            <w:shd w:val="clear" w:color="auto" w:fill="FFFFFF"/>
            <w:vAlign w:val="center"/>
          </w:tcPr>
          <w:p w:rsidR="00047104" w:rsidRDefault="001C7CB0">
            <w:pPr>
              <w:spacing w:before="60" w:after="60" w:line="288" w:lineRule="auto"/>
              <w:cnfStyle w:val="000000100000"/>
            </w:pPr>
            <w:r>
              <w:t>Usare sigle in maiuscolo e senza punti, laddove disponibili</w:t>
            </w:r>
          </w:p>
        </w:tc>
      </w:tr>
      <w:tr w:rsidR="00047104" w:rsidTr="00047104">
        <w:trPr>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Ministeri</w:t>
            </w:r>
          </w:p>
        </w:tc>
        <w:tc>
          <w:tcPr>
            <w:tcW w:w="6924" w:type="dxa"/>
            <w:shd w:val="clear" w:color="auto" w:fill="FFFFFF"/>
            <w:vAlign w:val="center"/>
          </w:tcPr>
          <w:p w:rsidR="00047104" w:rsidRDefault="001C7CB0">
            <w:pPr>
              <w:spacing w:before="60" w:after="60" w:line="288" w:lineRule="auto"/>
              <w:cnfStyle w:val="000000000000"/>
            </w:pPr>
            <w:r>
              <w:t>Usare la forma ridotta e puntata della sola parola Ministero, oppure l’acronimo</w:t>
            </w:r>
          </w:p>
          <w:p w:rsidR="00047104" w:rsidRDefault="001C7CB0">
            <w:pPr>
              <w:spacing w:before="60" w:after="60" w:line="288" w:lineRule="auto"/>
              <w:cnfStyle w:val="000000000000"/>
              <w:rPr>
                <w:b/>
              </w:rPr>
            </w:pPr>
            <w:r>
              <w:rPr>
                <w:b/>
              </w:rPr>
              <w:t>Esempio</w:t>
            </w:r>
            <w:r>
              <w:t>: MIN. ISTRUZIONE, oppure MI</w:t>
            </w:r>
          </w:p>
        </w:tc>
      </w:tr>
      <w:tr w:rsidR="00047104" w:rsidTr="00047104">
        <w:trPr>
          <w:cnfStyle w:val="000000100000"/>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Enti di secondo livello</w:t>
            </w:r>
          </w:p>
        </w:tc>
        <w:tc>
          <w:tcPr>
            <w:tcW w:w="6924" w:type="dxa"/>
            <w:shd w:val="clear" w:color="auto" w:fill="FFFFFF"/>
            <w:vAlign w:val="center"/>
          </w:tcPr>
          <w:p w:rsidR="00047104" w:rsidRDefault="001C7CB0">
            <w:pPr>
              <w:spacing w:before="60" w:after="60" w:line="288" w:lineRule="auto"/>
              <w:cnfStyle w:val="000000100000"/>
            </w:pPr>
            <w:r>
              <w:t>Usare la forma estesa o acronimi noti</w:t>
            </w:r>
          </w:p>
        </w:tc>
      </w:tr>
      <w:tr w:rsidR="00047104" w:rsidTr="00047104">
        <w:trPr>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Sigle in genere</w:t>
            </w:r>
          </w:p>
        </w:tc>
        <w:tc>
          <w:tcPr>
            <w:tcW w:w="6924" w:type="dxa"/>
            <w:shd w:val="clear" w:color="auto" w:fill="FFFFFF"/>
            <w:vAlign w:val="center"/>
          </w:tcPr>
          <w:p w:rsidR="00047104" w:rsidRDefault="001C7CB0">
            <w:pPr>
              <w:spacing w:before="60" w:after="60" w:line="288" w:lineRule="auto"/>
              <w:cnfStyle w:val="000000000000"/>
            </w:pPr>
            <w:r>
              <w:t>In maiuscolo e senza punti</w:t>
            </w:r>
          </w:p>
          <w:p w:rsidR="00047104" w:rsidRDefault="001C7CB0">
            <w:pPr>
              <w:spacing w:before="60" w:after="60" w:line="288" w:lineRule="auto"/>
              <w:cnfStyle w:val="000000000000"/>
            </w:pPr>
            <w:r>
              <w:rPr>
                <w:b/>
              </w:rPr>
              <w:t>Esempio</w:t>
            </w:r>
            <w:r>
              <w:t xml:space="preserve">: MI </w:t>
            </w:r>
          </w:p>
        </w:tc>
      </w:tr>
      <w:tr w:rsidR="00047104" w:rsidTr="00047104">
        <w:trPr>
          <w:cnfStyle w:val="000000100000"/>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Virgolette e apici</w:t>
            </w:r>
          </w:p>
        </w:tc>
        <w:tc>
          <w:tcPr>
            <w:tcW w:w="6924" w:type="dxa"/>
            <w:shd w:val="clear" w:color="auto" w:fill="FFFFFF"/>
            <w:vAlign w:val="center"/>
          </w:tcPr>
          <w:p w:rsidR="00047104" w:rsidRDefault="001C7CB0">
            <w:pPr>
              <w:numPr>
                <w:ilvl w:val="7"/>
                <w:numId w:val="37"/>
              </w:numPr>
              <w:pBdr>
                <w:top w:val="nil"/>
                <w:left w:val="nil"/>
                <w:bottom w:val="nil"/>
                <w:right w:val="nil"/>
                <w:between w:val="nil"/>
              </w:pBdr>
              <w:spacing w:before="60" w:after="60" w:line="288" w:lineRule="auto"/>
              <w:ind w:left="172" w:hanging="142"/>
              <w:cnfStyle w:val="000000100000"/>
            </w:pPr>
            <w:r>
              <w:rPr>
                <w:color w:val="000000"/>
              </w:rPr>
              <w:t>Digitare il carattere direttamente dalla tastiera</w:t>
            </w:r>
          </w:p>
          <w:p w:rsidR="00047104" w:rsidRDefault="001C7CB0">
            <w:pPr>
              <w:numPr>
                <w:ilvl w:val="7"/>
                <w:numId w:val="37"/>
              </w:numPr>
              <w:pBdr>
                <w:top w:val="nil"/>
                <w:left w:val="nil"/>
                <w:bottom w:val="nil"/>
                <w:right w:val="nil"/>
                <w:between w:val="nil"/>
              </w:pBdr>
              <w:spacing w:before="60" w:after="60" w:line="288" w:lineRule="auto"/>
              <w:ind w:left="172" w:hanging="142"/>
              <w:cnfStyle w:val="000000100000"/>
            </w:pPr>
            <w:r>
              <w:rPr>
                <w:color w:val="000000"/>
              </w:rPr>
              <w:t xml:space="preserve">Non eseguire la funzione copia e incolla di </w:t>
            </w:r>
            <w:r>
              <w:rPr>
                <w:i/>
                <w:color w:val="000000"/>
              </w:rPr>
              <w:t>Windows</w:t>
            </w:r>
          </w:p>
        </w:tc>
      </w:tr>
      <w:tr w:rsidR="00047104" w:rsidTr="00047104">
        <w:trPr>
          <w:trHeight w:val="20"/>
        </w:trPr>
        <w:tc>
          <w:tcPr>
            <w:cnfStyle w:val="001000000000"/>
            <w:tcW w:w="2684" w:type="dxa"/>
            <w:shd w:val="clear" w:color="auto" w:fill="FFFFFF"/>
            <w:vAlign w:val="center"/>
          </w:tcPr>
          <w:p w:rsidR="00047104" w:rsidRDefault="001C7CB0">
            <w:pPr>
              <w:spacing w:before="60" w:after="60" w:line="288" w:lineRule="auto"/>
              <w:rPr>
                <w:i/>
              </w:rPr>
            </w:pPr>
            <w:r>
              <w:rPr>
                <w:b w:val="0"/>
                <w:i/>
              </w:rPr>
              <w:t>Date</w:t>
            </w:r>
          </w:p>
        </w:tc>
        <w:tc>
          <w:tcPr>
            <w:tcW w:w="6924" w:type="dxa"/>
            <w:shd w:val="clear" w:color="auto" w:fill="FFFFFF"/>
            <w:vAlign w:val="center"/>
          </w:tcPr>
          <w:p w:rsidR="00047104" w:rsidRDefault="001C7CB0">
            <w:pPr>
              <w:spacing w:before="60" w:after="60" w:line="288" w:lineRule="auto"/>
              <w:cnfStyle w:val="000000000000"/>
            </w:pPr>
            <w:r>
              <w:t>Usare il seguente formato numerico: GG-MM-AAAA o GGMMAAAA</w:t>
            </w:r>
          </w:p>
          <w:p w:rsidR="00047104" w:rsidRDefault="001C7CB0">
            <w:pPr>
              <w:spacing w:before="60" w:after="60" w:line="288" w:lineRule="auto"/>
              <w:cnfStyle w:val="000000000000"/>
              <w:rPr>
                <w:b/>
                <w:i/>
              </w:rPr>
            </w:pPr>
            <w:r>
              <w:rPr>
                <w:b/>
              </w:rPr>
              <w:t>Esempio</w:t>
            </w:r>
            <w:r>
              <w:t>: 20-07-2020 o 20072020 e non 20/07/2020</w:t>
            </w:r>
          </w:p>
        </w:tc>
      </w:tr>
    </w:tbl>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4" w:name="_heading=h.2lwamvv" w:colFirst="0" w:colLast="0"/>
      <w:bookmarkEnd w:id="54"/>
      <w:r>
        <w:rPr>
          <w:b/>
          <w:smallCaps/>
          <w:color w:val="2A6CA8"/>
          <w:highlight w:val="white"/>
        </w:rPr>
        <w:t>5.3. Segnatura di protocollo</w:t>
      </w:r>
    </w:p>
    <w:p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0"/>
      </w:r>
      <w:r>
        <w:rPr>
          <w:highlight w:val="white"/>
        </w:rPr>
        <w:t>. Essa consente di individuare ciascun documento in modo inequivocabile.</w:t>
      </w:r>
    </w:p>
    <w:p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1"/>
      </w:r>
      <w:r>
        <w:rPr>
          <w:highlight w:val="white"/>
        </w:rPr>
        <w:t>:</w:t>
      </w:r>
    </w:p>
    <w:p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2"/>
      </w:r>
      <w:r>
        <w:rPr>
          <w:color w:val="000000"/>
          <w:highlight w:val="white"/>
        </w:rPr>
        <w:t>;</w:t>
      </w:r>
    </w:p>
    <w:p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w:t>
      </w:r>
      <w:r>
        <w:rPr>
          <w:highlight w:val="white"/>
        </w:rPr>
        <w:lastRenderedPageBreak/>
        <w:t>dell’Amministrazione il codice con cui l’Istituzione scolastica è univocamente identificata sull’indice delle Pubbliche Amministrazioni.</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6" w:name="_heading=h.111kx3o" w:colFirst="0" w:colLast="0"/>
      <w:bookmarkEnd w:id="56"/>
      <w:r>
        <w:rPr>
          <w:b/>
          <w:smallCaps/>
          <w:color w:val="2A6CA8"/>
          <w:highlight w:val="white"/>
        </w:rPr>
        <w:t>5.4. Differimento della registrazione di protocollo</w:t>
      </w:r>
    </w:p>
    <w:p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3l18frh" w:colFirst="0" w:colLast="0"/>
      <w:bookmarkEnd w:id="57"/>
      <w:r>
        <w:rPr>
          <w:b/>
          <w:smallCaps/>
          <w:color w:val="2A6CA8"/>
          <w:highlight w:val="white"/>
        </w:rPr>
        <w:t>5.5. Ricevuta di avvenuta protocollazione</w:t>
      </w:r>
    </w:p>
    <w:p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206ipza" w:colFirst="0" w:colLast="0"/>
      <w:bookmarkEnd w:id="58"/>
      <w:r>
        <w:rPr>
          <w:b/>
          <w:smallCaps/>
          <w:color w:val="2A6CA8"/>
          <w:highlight w:val="white"/>
        </w:rPr>
        <w:t>5.6. Registro giornaliero di protocollo</w:t>
      </w:r>
    </w:p>
    <w:p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3"/>
      </w:r>
      <w:r>
        <w:rPr>
          <w:color w:val="000000"/>
          <w:highlight w:val="white"/>
        </w:rPr>
        <w:t>.</w:t>
      </w:r>
    </w:p>
    <w:p w:rsidR="00047104" w:rsidRDefault="001C7CB0">
      <w:pPr>
        <w:spacing w:before="120" w:after="120" w:line="288" w:lineRule="auto"/>
        <w:jc w:val="both"/>
        <w:rPr>
          <w:highlight w:val="white"/>
        </w:rPr>
      </w:pPr>
      <w:r>
        <w:rPr>
          <w:highlight w:val="white"/>
        </w:rPr>
        <w:lastRenderedPageBreak/>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4k668n3" w:colFirst="0" w:colLast="0"/>
      <w:bookmarkEnd w:id="59"/>
      <w:r>
        <w:rPr>
          <w:b/>
          <w:smallCaps/>
          <w:color w:val="2A6CA8"/>
          <w:highlight w:val="white"/>
        </w:rPr>
        <w:t>5.7. Registro di emergenza</w:t>
      </w:r>
    </w:p>
    <w:p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4"/>
      </w:r>
      <w:r>
        <w:rPr>
          <w:highlight w:val="white"/>
        </w:rPr>
        <w:t>.</w:t>
      </w:r>
    </w:p>
    <w:p w:rsidR="00047104" w:rsidRDefault="001C7CB0">
      <w:pPr>
        <w:spacing w:before="120" w:after="120" w:line="288" w:lineRule="auto"/>
        <w:jc w:val="both"/>
        <w:rPr>
          <w:highlight w:val="white"/>
        </w:rPr>
      </w:pPr>
      <w:r>
        <w:rPr>
          <w:highlight w:val="white"/>
        </w:rPr>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rsidR="00047104" w:rsidRDefault="001C7CB0">
      <w:pPr>
        <w:spacing w:before="120" w:after="120" w:line="288" w:lineRule="auto"/>
        <w:jc w:val="both"/>
        <w:rPr>
          <w:highlight w:val="white"/>
        </w:rPr>
      </w:pPr>
      <w:r>
        <w:rPr>
          <w:highlight w:val="white"/>
        </w:rPr>
        <w:t xml:space="preserve">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w:t>
      </w:r>
      <w:r>
        <w:rPr>
          <w:highlight w:val="white"/>
        </w:rPr>
        <w:lastRenderedPageBreak/>
        <w:t>tali casi sul registro di emergenza, oltre alle informazioni di cui sopra, vengono riportati gli estremi del provvedimento di autorizzazione.</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2zbgiuw" w:colFirst="0" w:colLast="0"/>
      <w:bookmarkEnd w:id="60"/>
      <w:r>
        <w:rPr>
          <w:b/>
          <w:smallCaps/>
          <w:color w:val="2A6CA8"/>
          <w:highlight w:val="white"/>
        </w:rPr>
        <w:t>5.8. Registri particolari</w:t>
      </w:r>
    </w:p>
    <w:p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rsidR="00047104" w:rsidRPr="00D51119" w:rsidRDefault="001C7CB0">
      <w:pPr>
        <w:spacing w:before="120" w:after="120" w:line="288" w:lineRule="auto"/>
        <w:jc w:val="both"/>
        <w:rPr>
          <w:sz w:val="23"/>
          <w:szCs w:val="23"/>
        </w:rPr>
      </w:pPr>
      <w:bookmarkStart w:id="61" w:name="_heading=h.1egqt2p" w:colFirst="0" w:colLast="0"/>
      <w:bookmarkEnd w:id="61"/>
      <w:r>
        <w:t xml:space="preserve">I documenti che sono soggetti a particolare registrazione dell’Istituzione scolastica e che, ai sensi dell’art. 53, comma 5, del D.P.R. 445/2000, sono esclusi dalla protocollazione, sono definiti nel presente manuale, con indicazione della modalità di gestione dei </w:t>
      </w:r>
      <w:r w:rsidRPr="00D51119">
        <w:t>relativi registri</w:t>
      </w:r>
      <w:r w:rsidRPr="00D51119">
        <w:rPr>
          <w:sz w:val="23"/>
          <w:szCs w:val="23"/>
        </w:rPr>
        <w:t>.</w:t>
      </w:r>
    </w:p>
    <w:p w:rsidR="00047104" w:rsidRPr="00D51119" w:rsidRDefault="001C7CB0">
      <w:pPr>
        <w:spacing w:before="120" w:after="120" w:line="288" w:lineRule="auto"/>
        <w:jc w:val="both"/>
      </w:pPr>
      <w:r w:rsidRPr="00D51119">
        <w:t>Sono soggetti a registrazione particolare i documenti indicati nell’allegato (7.4).</w:t>
      </w:r>
    </w:p>
    <w:p w:rsidR="00047104" w:rsidRDefault="001C7CB0">
      <w:pPr>
        <w:spacing w:before="120" w:after="120" w:line="288" w:lineRule="auto"/>
        <w:jc w:val="both"/>
      </w:pPr>
      <w:r>
        <w:rPr>
          <w:highlight w:val="white"/>
        </w:rPr>
        <w:t xml:space="preserve">Per la gestione del trattamento delle registrazioni particolari informatiche vengono individuati i seguenti registri indicati </w:t>
      </w:r>
      <w:r w:rsidRPr="00D51119">
        <w:t>nell’apposito allegato</w:t>
      </w:r>
      <w:r w:rsidR="00A51123" w:rsidRPr="00D51119">
        <w:t xml:space="preserve"> (7.5)</w:t>
      </w:r>
      <w:r w:rsidR="00D51119">
        <w:t xml:space="preserve"> </w:t>
      </w:r>
      <w:r w:rsidRPr="00D51119">
        <w:t xml:space="preserve">con </w:t>
      </w:r>
      <w:r>
        <w:rPr>
          <w:highlight w:val="white"/>
        </w:rPr>
        <w:t>le relative modalità di gestione.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2" w:name="_heading=h.2zq7l2pwntkf" w:colFirst="0" w:colLast="0"/>
      <w:bookmarkEnd w:id="62"/>
      <w:r>
        <w:rPr>
          <w:b/>
          <w:smallCaps/>
          <w:color w:val="2A6CA8"/>
        </w:rPr>
        <w:t>5.9. Annullamento delle registrazioni di protocollo</w:t>
      </w:r>
    </w:p>
    <w:p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dlolyb" w:colFirst="0" w:colLast="0"/>
      <w:bookmarkEnd w:id="63"/>
      <w:r>
        <w:rPr>
          <w:b/>
          <w:smallCaps/>
          <w:color w:val="2A6CA8"/>
        </w:rPr>
        <w:t>5.10. Modalità di svolgimento del processo di scansione</w:t>
      </w:r>
    </w:p>
    <w:p w:rsidR="00047104" w:rsidRDefault="001C7CB0">
      <w:pPr>
        <w:spacing w:before="120" w:after="120" w:line="288" w:lineRule="auto"/>
        <w:jc w:val="both"/>
      </w:pPr>
      <w:r>
        <w:t>Il processo di scansione si articola nelle seguenti fasi:</w:t>
      </w:r>
    </w:p>
    <w:p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rsidR="00047104" w:rsidRDefault="001C7CB0">
      <w:pPr>
        <w:numPr>
          <w:ilvl w:val="0"/>
          <w:numId w:val="11"/>
        </w:numPr>
        <w:pBdr>
          <w:top w:val="nil"/>
          <w:left w:val="nil"/>
          <w:bottom w:val="nil"/>
          <w:right w:val="nil"/>
          <w:between w:val="nil"/>
        </w:pBdr>
        <w:spacing w:after="0" w:line="288" w:lineRule="auto"/>
        <w:jc w:val="both"/>
      </w:pPr>
      <w:r>
        <w:rPr>
          <w:color w:val="000000"/>
        </w:rPr>
        <w:lastRenderedPageBreak/>
        <w:t>verifica della correttezza dell’acquisizione delle immagini e della esatta corrispondenza delle immagini ottenute con gli originali cartacei;</w:t>
      </w:r>
    </w:p>
    <w:p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rsidR="00047104" w:rsidRDefault="001C7CB0">
      <w:pPr>
        <w:spacing w:before="120" w:after="120" w:line="288" w:lineRule="auto"/>
        <w:jc w:val="both"/>
      </w:pPr>
      <w:r>
        <w:t>In linea con la certificazione di processo</w:t>
      </w:r>
      <w:r>
        <w:rPr>
          <w:vertAlign w:val="superscript"/>
        </w:rPr>
        <w:footnoteReference w:id="55"/>
      </w:r>
      <w:r>
        <w:t>, l'operatore di protocollo, a valle del processo di scansione, attesta la conformità del documento scansionato al documento originale.</w:t>
      </w:r>
    </w:p>
    <w:p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6"/>
      </w:r>
    </w:p>
    <w:p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rsidR="00047104" w:rsidRDefault="001C7CB0">
      <w:pPr>
        <w:spacing w:before="120" w:after="120" w:line="288" w:lineRule="auto"/>
        <w:jc w:val="both"/>
      </w:pPr>
      <w:bookmarkStart w:id="64" w:name="_heading=h.sqyw64" w:colFirst="0" w:colLast="0"/>
      <w:bookmarkEnd w:id="64"/>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7"/>
      </w:r>
      <w:r>
        <w:t>.</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5" w:name="_heading=h.1rvwp1q" w:colFirst="0" w:colLast="0"/>
      <w:bookmarkEnd w:id="65"/>
      <w:r>
        <w:rPr>
          <w:b/>
          <w:smallCaps/>
          <w:color w:val="2A6CA8"/>
        </w:rPr>
        <w:t>6.1. Tutela dei dati personali e misure di sicurezza</w:t>
      </w:r>
    </w:p>
    <w:p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8"/>
      </w:r>
      <w:r>
        <w:t>.</w:t>
      </w:r>
    </w:p>
    <w:p w:rsidR="00047104" w:rsidRDefault="001C7CB0">
      <w:pPr>
        <w:spacing w:before="120" w:after="120" w:line="288" w:lineRule="auto"/>
        <w:jc w:val="both"/>
      </w:pPr>
      <w:r>
        <w:lastRenderedPageBreak/>
        <w:t>L’Istituzione scolastica deve intraprendere iniziative volte ad ottemperare a quanto previsto dal Regolamento UE 679/2016, con particolare riferimento:</w:t>
      </w:r>
    </w:p>
    <w:p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59"/>
      </w:r>
      <w:r>
        <w:rPr>
          <w:color w:val="000000"/>
        </w:rPr>
        <w:t xml:space="preserve">;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0"/>
      </w:r>
      <w:r>
        <w:rPr>
          <w:color w:val="000000"/>
        </w:rPr>
        <w:t>.</w:t>
      </w:r>
    </w:p>
    <w:p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rsidR="00047104" w:rsidRDefault="001C7CB0">
      <w:pPr>
        <w:spacing w:before="120" w:after="120" w:line="288" w:lineRule="auto"/>
        <w:jc w:val="both"/>
      </w:pPr>
      <w:bookmarkStart w:id="66" w:name="_heading=h.4bvk7pj" w:colFirst="0" w:colLast="0"/>
      <w:bookmarkEnd w:id="66"/>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rsidR="00047104" w:rsidRDefault="001C7CB0">
      <w:pPr>
        <w:spacing w:before="120" w:after="120" w:line="288" w:lineRule="auto"/>
        <w:jc w:val="both"/>
        <w:rPr>
          <w:color w:val="000000"/>
          <w:highlight w:val="white"/>
        </w:rPr>
      </w:pPr>
      <w:r>
        <w:rPr>
          <w:highlight w:val="white"/>
        </w:rPr>
        <w:lastRenderedPageBreak/>
        <w:t xml:space="preserve">Nello specifico, le misure di carattere tecnico/organizzativo adottate dall’Istituzione scolastica sono le seguenti </w:t>
      </w:r>
      <w:r w:rsidRPr="00D51119">
        <w:t>riportate in allegato (7.6).</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7" w:name="_heading=h.2r0uhxc" w:colFirst="0" w:colLast="0"/>
      <w:bookmarkEnd w:id="67"/>
      <w:r>
        <w:rPr>
          <w:b/>
          <w:smallCaps/>
          <w:color w:val="2A6CA8"/>
        </w:rPr>
        <w:t>6.2. Diritto di accesso agli atti</w:t>
      </w:r>
    </w:p>
    <w:p w:rsidR="00047104" w:rsidRDefault="001C7CB0">
      <w:pPr>
        <w:keepNext/>
        <w:keepLines/>
        <w:pBdr>
          <w:top w:val="nil"/>
          <w:left w:val="nil"/>
          <w:bottom w:val="nil"/>
          <w:right w:val="nil"/>
          <w:between w:val="nil"/>
        </w:pBdr>
        <w:spacing w:before="60" w:after="60"/>
        <w:rPr>
          <w:b/>
          <w:smallCaps/>
          <w:color w:val="4B91D1"/>
        </w:rPr>
      </w:pPr>
      <w:bookmarkStart w:id="68" w:name="_heading=h.1664s55" w:colFirst="0" w:colLast="0"/>
      <w:bookmarkEnd w:id="68"/>
      <w:r>
        <w:rPr>
          <w:b/>
          <w:smallCaps/>
          <w:color w:val="4B91D1"/>
        </w:rPr>
        <w:t>6.2.1. Accesso documentale</w:t>
      </w:r>
    </w:p>
    <w:p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rsidR="00047104" w:rsidRDefault="001C7CB0">
      <w:pPr>
        <w:jc w:val="both"/>
      </w:pPr>
      <w:r>
        <w:t>Gli istanti devono essere portatori di un interesse diretto, concreto e attuale, corrispondente ad una situazione giuridicamente tutelata e collegata al documento amministrativo e ai documenti connessi.</w:t>
      </w:r>
    </w:p>
    <w:p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rsidR="00047104" w:rsidRDefault="001C7CB0">
      <w:pPr>
        <w:jc w:val="both"/>
      </w:pPr>
      <w:r>
        <w:t>Il diritto di accesso è escluso per</w:t>
      </w:r>
      <w:r>
        <w:rPr>
          <w:vertAlign w:val="superscript"/>
        </w:rPr>
        <w:footnoteReference w:id="61"/>
      </w:r>
      <w:r>
        <w:t>:</w:t>
      </w:r>
    </w:p>
    <w:p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rsidR="00047104" w:rsidRDefault="001C7CB0">
      <w:pPr>
        <w:numPr>
          <w:ilvl w:val="0"/>
          <w:numId w:val="28"/>
        </w:numPr>
        <w:pBdr>
          <w:top w:val="nil"/>
          <w:left w:val="nil"/>
          <w:bottom w:val="nil"/>
          <w:right w:val="nil"/>
          <w:between w:val="nil"/>
        </w:pBdr>
        <w:spacing w:after="0"/>
      </w:pPr>
      <w:r>
        <w:rPr>
          <w:color w:val="000000"/>
        </w:rPr>
        <w:t>i procedimenti tributari;</w:t>
      </w:r>
    </w:p>
    <w:p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rsidR="00047104" w:rsidRDefault="001C7CB0">
      <w:pPr>
        <w:jc w:val="both"/>
        <w:rPr>
          <w:i/>
        </w:rPr>
      </w:pPr>
      <w:r>
        <w:t>In breve, si rileva che rispetto ai</w:t>
      </w:r>
      <w:r>
        <w:rPr>
          <w:vertAlign w:val="superscript"/>
        </w:rPr>
        <w:footnoteReference w:id="62"/>
      </w:r>
      <w:r>
        <w:rPr>
          <w:i/>
        </w:rPr>
        <w:t>:</w:t>
      </w:r>
    </w:p>
    <w:p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rsidR="00047104" w:rsidRDefault="001C7CB0">
      <w:pPr>
        <w:numPr>
          <w:ilvl w:val="0"/>
          <w:numId w:val="19"/>
        </w:numPr>
        <w:pBdr>
          <w:top w:val="nil"/>
          <w:left w:val="nil"/>
          <w:bottom w:val="nil"/>
          <w:right w:val="nil"/>
          <w:between w:val="nil"/>
        </w:pBdr>
        <w:spacing w:after="0"/>
        <w:jc w:val="both"/>
      </w:pPr>
      <w:r>
        <w:rPr>
          <w:i/>
          <w:color w:val="000000"/>
        </w:rPr>
        <w:lastRenderedPageBreak/>
        <w:t>Dati cc.dd. sensibili e giudiziari:</w:t>
      </w:r>
      <w:r w:rsidR="009D1D66">
        <w:rPr>
          <w:i/>
          <w:color w:val="000000"/>
        </w:rPr>
        <w:t xml:space="preserve"> </w:t>
      </w:r>
      <w:r>
        <w:rPr>
          <w:color w:val="000000"/>
        </w:rPr>
        <w:t>il</w:t>
      </w:r>
      <w:r w:rsidR="009D1D66">
        <w:rPr>
          <w:color w:val="000000"/>
        </w:rPr>
        <w:t xml:space="preserve"> </w:t>
      </w:r>
      <w:r>
        <w:rPr>
          <w:color w:val="000000"/>
        </w:rPr>
        <w:t>diritto all’accesso prevale solo laddove sia strettamente indispensabile;</w:t>
      </w:r>
    </w:p>
    <w:p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rsidR="00047104" w:rsidRDefault="001C7CB0">
      <w:pPr>
        <w:keepNext/>
        <w:keepLines/>
        <w:pBdr>
          <w:top w:val="nil"/>
          <w:left w:val="nil"/>
          <w:bottom w:val="nil"/>
          <w:right w:val="nil"/>
          <w:between w:val="nil"/>
        </w:pBdr>
        <w:spacing w:before="60" w:after="60"/>
        <w:rPr>
          <w:b/>
          <w:smallCaps/>
          <w:color w:val="4B91D1"/>
        </w:rPr>
      </w:pPr>
      <w:bookmarkStart w:id="69" w:name="_heading=h.3q5sasy" w:colFirst="0" w:colLast="0"/>
      <w:bookmarkEnd w:id="69"/>
      <w:r>
        <w:rPr>
          <w:b/>
          <w:smallCaps/>
          <w:color w:val="4B91D1"/>
        </w:rPr>
        <w:t>6.2.2. Accesso civico generalizzato (FOIA)</w:t>
      </w:r>
    </w:p>
    <w:p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3"/>
      </w:r>
      <w:r>
        <w:t>.</w:t>
      </w:r>
    </w:p>
    <w:p w:rsidR="00047104" w:rsidRDefault="001C7CB0">
      <w:pPr>
        <w:spacing w:before="120" w:after="120" w:line="288" w:lineRule="auto"/>
        <w:jc w:val="both"/>
      </w:pPr>
      <w:r>
        <w:t>Le istanze possono essere presentate da chiunque, a prescindere da particolari requisiti di qualificazione, e senza necessità di motivazione.</w:t>
      </w:r>
    </w:p>
    <w:p w:rsidR="00047104" w:rsidRDefault="001C7CB0">
      <w:pPr>
        <w:spacing w:before="120" w:after="120" w:line="288" w:lineRule="auto"/>
        <w:jc w:val="both"/>
      </w:pPr>
      <w:r>
        <w:t>L’accesso civico generalizzato è volto a:</w:t>
      </w:r>
    </w:p>
    <w:p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 xml:space="preserve">“la concentrazione della competenza a decidere </w:t>
      </w:r>
      <w:r>
        <w:rPr>
          <w:i/>
        </w:rPr>
        <w:lastRenderedPageBreak/>
        <w:t>sulle richieste di accesso 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4"/>
      </w:r>
      <w:r>
        <w:t>.</w:t>
      </w:r>
    </w:p>
    <w:p w:rsidR="00047104" w:rsidRDefault="001C7CB0">
      <w:pPr>
        <w:spacing w:before="120" w:after="120" w:line="288" w:lineRule="auto"/>
        <w:jc w:val="both"/>
      </w:pPr>
      <w:r>
        <w:t>Fatto salvo quanto sopra, le scuole destinatarie dell’istanza, devono emettere un provvedimento espresso e motivato nei successivi trenta giorni.</w:t>
      </w:r>
    </w:p>
    <w:p w:rsidR="00047104" w:rsidRDefault="001C7CB0">
      <w:pPr>
        <w:spacing w:before="120" w:after="120" w:line="288" w:lineRule="auto"/>
        <w:jc w:val="both"/>
      </w:pPr>
      <w:r>
        <w:t>Si rappresenta che l'accesso civico generalizzato è limitato qualora sia pregiudicato un interesse pubblico, ovvero:</w:t>
      </w:r>
    </w:p>
    <w:p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5"/>
      </w:r>
      <w:r>
        <w:rPr>
          <w:color w:val="000000"/>
        </w:rPr>
        <w:t>.</w:t>
      </w:r>
    </w:p>
    <w:p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6"/>
      </w:r>
      <w:r>
        <w:t xml:space="preserve">. </w:t>
      </w:r>
    </w:p>
    <w:p w:rsidR="00047104" w:rsidRDefault="001C7CB0">
      <w:pPr>
        <w:spacing w:before="120" w:after="120" w:line="288" w:lineRule="auto"/>
        <w:jc w:val="both"/>
      </w:pPr>
      <w:r>
        <w:lastRenderedPageBreak/>
        <w:t>Nei casi di risposta negativa o parzialmente negativa sopra elencati, l’Istituzione scolastica è tenuta, ad ogni modo, a una congrua e completa motivazione.</w:t>
      </w:r>
    </w:p>
    <w:p w:rsidR="00047104" w:rsidRDefault="001C7CB0">
      <w:pPr>
        <w:spacing w:before="120" w:after="120" w:line="288" w:lineRule="auto"/>
        <w:jc w:val="both"/>
      </w:pPr>
      <w:r>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rsidR="00047104" w:rsidRDefault="001C7CB0">
      <w:pPr>
        <w:numPr>
          <w:ilvl w:val="0"/>
          <w:numId w:val="14"/>
        </w:numPr>
        <w:spacing w:before="120" w:after="0" w:line="288" w:lineRule="auto"/>
        <w:ind w:left="714" w:hanging="357"/>
        <w:jc w:val="both"/>
      </w:pPr>
      <w:r>
        <w:t>uffici competenti;</w:t>
      </w:r>
    </w:p>
    <w:p w:rsidR="00047104" w:rsidRDefault="001C7CB0">
      <w:pPr>
        <w:numPr>
          <w:ilvl w:val="0"/>
          <w:numId w:val="14"/>
        </w:numPr>
        <w:spacing w:after="0" w:line="288" w:lineRule="auto"/>
        <w:ind w:left="714" w:hanging="357"/>
        <w:jc w:val="both"/>
      </w:pPr>
      <w:r>
        <w:t>tempi di decisione;</w:t>
      </w:r>
    </w:p>
    <w:p w:rsidR="00047104" w:rsidRDefault="001C7CB0">
      <w:pPr>
        <w:numPr>
          <w:ilvl w:val="0"/>
          <w:numId w:val="14"/>
        </w:numPr>
        <w:spacing w:after="0" w:line="288" w:lineRule="auto"/>
        <w:ind w:left="714" w:hanging="357"/>
        <w:jc w:val="both"/>
      </w:pPr>
      <w:r>
        <w:t>controinteressati;</w:t>
      </w:r>
    </w:p>
    <w:p w:rsidR="00047104" w:rsidRDefault="001C7CB0">
      <w:pPr>
        <w:numPr>
          <w:ilvl w:val="0"/>
          <w:numId w:val="14"/>
        </w:numPr>
        <w:spacing w:after="0" w:line="288" w:lineRule="auto"/>
        <w:ind w:left="714" w:hanging="357"/>
        <w:jc w:val="both"/>
      </w:pPr>
      <w:r>
        <w:t>rifiuti non consentiti;</w:t>
      </w:r>
    </w:p>
    <w:p w:rsidR="00047104" w:rsidRDefault="001C7CB0">
      <w:pPr>
        <w:numPr>
          <w:ilvl w:val="0"/>
          <w:numId w:val="14"/>
        </w:numPr>
        <w:spacing w:after="0" w:line="288" w:lineRule="auto"/>
        <w:ind w:left="714" w:hanging="357"/>
        <w:jc w:val="both"/>
      </w:pPr>
      <w:r>
        <w:t>dialogo con i richiedenti;</w:t>
      </w:r>
    </w:p>
    <w:p w:rsidR="00047104" w:rsidRDefault="001C7CB0">
      <w:pPr>
        <w:numPr>
          <w:ilvl w:val="0"/>
          <w:numId w:val="14"/>
        </w:numPr>
        <w:spacing w:after="120" w:line="288" w:lineRule="auto"/>
        <w:ind w:left="714" w:hanging="357"/>
        <w:jc w:val="both"/>
      </w:pPr>
      <w:r>
        <w:t>Registro degli accessi.</w:t>
      </w:r>
    </w:p>
    <w:p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rsidR="00047104" w:rsidRDefault="001C7CB0">
      <w:pPr>
        <w:numPr>
          <w:ilvl w:val="0"/>
          <w:numId w:val="15"/>
        </w:numPr>
        <w:spacing w:after="0" w:line="288" w:lineRule="auto"/>
        <w:ind w:left="714" w:hanging="357"/>
        <w:jc w:val="both"/>
      </w:pPr>
      <w:r>
        <w:t>criteri applicativi di carattere generale;</w:t>
      </w:r>
    </w:p>
    <w:p w:rsidR="00047104" w:rsidRDefault="001C7CB0">
      <w:pPr>
        <w:numPr>
          <w:ilvl w:val="0"/>
          <w:numId w:val="15"/>
        </w:numPr>
        <w:spacing w:after="0" w:line="288" w:lineRule="auto"/>
        <w:ind w:left="714" w:hanging="357"/>
        <w:jc w:val="both"/>
      </w:pPr>
      <w:r>
        <w:t>regime dei costi;</w:t>
      </w:r>
    </w:p>
    <w:p w:rsidR="00047104" w:rsidRDefault="001C7CB0">
      <w:pPr>
        <w:numPr>
          <w:ilvl w:val="0"/>
          <w:numId w:val="15"/>
        </w:numPr>
        <w:spacing w:after="0" w:line="288" w:lineRule="auto"/>
        <w:ind w:left="714" w:hanging="357"/>
        <w:jc w:val="both"/>
      </w:pPr>
      <w:r>
        <w:t>notifica ai controinteressati;</w:t>
      </w:r>
    </w:p>
    <w:p w:rsidR="00047104" w:rsidRDefault="001C7CB0">
      <w:pPr>
        <w:numPr>
          <w:ilvl w:val="0"/>
          <w:numId w:val="15"/>
        </w:numPr>
        <w:spacing w:after="0" w:line="288" w:lineRule="auto"/>
        <w:ind w:left="714" w:hanging="357"/>
        <w:jc w:val="both"/>
      </w:pPr>
      <w:r>
        <w:t>partecipazione dei controinteressati alla fase di riesame;</w:t>
      </w:r>
    </w:p>
    <w:p w:rsidR="00047104" w:rsidRDefault="001C7CB0">
      <w:pPr>
        <w:numPr>
          <w:ilvl w:val="0"/>
          <w:numId w:val="15"/>
        </w:numPr>
        <w:spacing w:after="0" w:line="288" w:lineRule="auto"/>
        <w:ind w:left="714" w:hanging="357"/>
        <w:jc w:val="both"/>
      </w:pPr>
      <w:r>
        <w:t>termine per proporre l’istanza di riesame;</w:t>
      </w:r>
    </w:p>
    <w:p w:rsidR="00047104" w:rsidRDefault="001C7CB0">
      <w:pPr>
        <w:numPr>
          <w:ilvl w:val="0"/>
          <w:numId w:val="15"/>
        </w:numPr>
        <w:spacing w:after="120" w:line="288" w:lineRule="auto"/>
        <w:ind w:left="714" w:hanging="357"/>
        <w:jc w:val="both"/>
      </w:pPr>
      <w:r>
        <w:t>strumenti tecnologici di supporto.</w:t>
      </w:r>
    </w:p>
    <w:p w:rsidR="00047104" w:rsidRDefault="001C7CB0">
      <w:pPr>
        <w:keepNext/>
        <w:keepLines/>
        <w:pBdr>
          <w:top w:val="nil"/>
          <w:left w:val="nil"/>
          <w:bottom w:val="nil"/>
          <w:right w:val="nil"/>
          <w:between w:val="nil"/>
        </w:pBdr>
        <w:spacing w:before="60" w:after="60"/>
        <w:rPr>
          <w:b/>
          <w:smallCaps/>
          <w:color w:val="4B91D1"/>
        </w:rPr>
      </w:pPr>
      <w:bookmarkStart w:id="70" w:name="_heading=h.25b2l0r" w:colFirst="0" w:colLast="0"/>
      <w:bookmarkEnd w:id="70"/>
      <w:r>
        <w:rPr>
          <w:b/>
          <w:smallCaps/>
          <w:color w:val="4B91D1"/>
        </w:rPr>
        <w:t>6.2.3. Registro degli accessi</w:t>
      </w:r>
    </w:p>
    <w:p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rsidR="00047104" w:rsidRDefault="00047104">
      <w:pPr>
        <w:spacing w:before="120" w:after="120" w:line="288" w:lineRule="auto"/>
        <w:jc w:val="both"/>
      </w:pPr>
    </w:p>
    <w:p w:rsidR="00047104" w:rsidRDefault="00047104">
      <w:pPr>
        <w:spacing w:before="120" w:after="120" w:line="288" w:lineRule="auto"/>
        <w:jc w:val="both"/>
      </w:pPr>
    </w:p>
    <w:p w:rsidR="00047104" w:rsidRDefault="001C7CB0">
      <w:pPr>
        <w:keepNext/>
        <w:keepLines/>
        <w:numPr>
          <w:ilvl w:val="0"/>
          <w:numId w:val="37"/>
        </w:numPr>
        <w:spacing w:before="120" w:after="120" w:line="288" w:lineRule="auto"/>
        <w:jc w:val="both"/>
        <w:rPr>
          <w:smallCaps/>
          <w:color w:val="1F497D"/>
          <w:sz w:val="28"/>
          <w:szCs w:val="28"/>
          <w:highlight w:val="white"/>
        </w:rPr>
      </w:pPr>
      <w:bookmarkStart w:id="71" w:name="_heading=h.3cqmetx" w:colFirst="0" w:colLast="0"/>
      <w:bookmarkEnd w:id="71"/>
      <w:r>
        <w:rPr>
          <w:b/>
          <w:smallCaps/>
          <w:color w:val="1F497D"/>
          <w:sz w:val="28"/>
          <w:szCs w:val="28"/>
          <w:highlight w:val="white"/>
        </w:rPr>
        <w:t>Allegati</w:t>
      </w:r>
    </w:p>
    <w:p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rsidR="00047104" w:rsidRDefault="001C7CB0">
      <w:pPr>
        <w:numPr>
          <w:ilvl w:val="0"/>
          <w:numId w:val="6"/>
        </w:numPr>
        <w:tabs>
          <w:tab w:val="left" w:pos="5222"/>
        </w:tabs>
        <w:spacing w:after="0" w:line="288" w:lineRule="auto"/>
        <w:jc w:val="both"/>
        <w:rPr>
          <w:highlight w:val="white"/>
        </w:rPr>
      </w:pPr>
      <w:r>
        <w:rPr>
          <w:highlight w:val="white"/>
        </w:rPr>
        <w:lastRenderedPageBreak/>
        <w:t xml:space="preserve">7.4 Elenco dei documenti soggetti a registrazione particolare per tutte le amministrazioni </w:t>
      </w:r>
    </w:p>
    <w:p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w:rsidR="00047104" w:rsidSect="006F74F3">
      <w:headerReference w:type="default" r:id="rId13"/>
      <w:footerReference w:type="default" r:id="rId14"/>
      <w:headerReference w:type="first" r:id="rId15"/>
      <w:pgSz w:w="11906" w:h="16838" w:code="9"/>
      <w:pgMar w:top="1417" w:right="1701" w:bottom="1417" w:left="1701" w:header="708" w:footer="708"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8DF" w:rsidRDefault="00EC28DF">
      <w:pPr>
        <w:spacing w:after="0" w:line="240" w:lineRule="auto"/>
      </w:pPr>
      <w:r>
        <w:separator/>
      </w:r>
    </w:p>
  </w:endnote>
  <w:endnote w:type="continuationSeparator" w:id="1">
    <w:p w:rsidR="00EC28DF" w:rsidRDefault="00EC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76" w:rsidRDefault="004C735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sidR="00EB4276">
      <w:rPr>
        <w:color w:val="000000"/>
      </w:rPr>
      <w:instrText>PAGE</w:instrText>
    </w:r>
    <w:r>
      <w:rPr>
        <w:color w:val="000000"/>
      </w:rPr>
      <w:fldChar w:fldCharType="separate"/>
    </w:r>
    <w:r w:rsidR="009D1D66">
      <w:rPr>
        <w:noProof/>
        <w:color w:val="000000"/>
      </w:rPr>
      <w:t>41</w:t>
    </w:r>
    <w:r>
      <w:rPr>
        <w:color w:val="000000"/>
      </w:rPr>
      <w:fldChar w:fldCharType="end"/>
    </w:r>
  </w:p>
  <w:p w:rsidR="00EB4276" w:rsidRDefault="00EB427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8DF" w:rsidRDefault="00EC28DF">
      <w:pPr>
        <w:spacing w:after="0" w:line="240" w:lineRule="auto"/>
      </w:pPr>
      <w:r>
        <w:separator/>
      </w:r>
    </w:p>
  </w:footnote>
  <w:footnote w:type="continuationSeparator" w:id="1">
    <w:p w:rsidR="00EC28DF" w:rsidRDefault="00EC28DF">
      <w:pPr>
        <w:spacing w:after="0" w:line="240" w:lineRule="auto"/>
      </w:pPr>
      <w:r>
        <w:continuationSeparator/>
      </w:r>
    </w:p>
  </w:footnote>
  <w:footnote w:id="2">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4">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6">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7">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rsidR="00EB4276" w:rsidRPr="005A0B4C" w:rsidRDefault="00EB4276">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4">
    <w:p w:rsidR="00EB4276" w:rsidRDefault="00EB427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7">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8">
    <w:p w:rsidR="00EB4276" w:rsidRDefault="00EB427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sidR="00022D06">
        <w:rPr>
          <w:i/>
          <w:color w:val="000000"/>
          <w:sz w:val="18"/>
          <w:szCs w:val="18"/>
        </w:rPr>
        <w:t xml:space="preserve"> </w:t>
      </w:r>
      <w:r>
        <w:rPr>
          <w:i/>
          <w:color w:val="000000"/>
          <w:sz w:val="18"/>
          <w:szCs w:val="18"/>
        </w:rPr>
        <w:t>sulla formazione, gestione e conservazione dei documenti informatici</w:t>
      </w:r>
      <w:r>
        <w:rPr>
          <w:color w:val="000000"/>
          <w:sz w:val="18"/>
          <w:szCs w:val="18"/>
        </w:rPr>
        <w:t>” emanate dall’AgID.</w:t>
      </w:r>
    </w:p>
  </w:footnote>
  <w:footnote w:id="19">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1">
    <w:p w:rsidR="00EB4276" w:rsidRDefault="00EB427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2">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4">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7">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8">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29">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1">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2">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3">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footnote>
  <w:footnote w:id="34">
    <w:p w:rsidR="00EB4276" w:rsidRDefault="00EB4276">
      <w:pPr>
        <w:pBdr>
          <w:top w:val="nil"/>
          <w:left w:val="nil"/>
          <w:bottom w:val="nil"/>
          <w:right w:val="nil"/>
          <w:between w:val="nil"/>
        </w:pBdr>
        <w:spacing w:after="0" w:line="240" w:lineRule="auto"/>
        <w:jc w:val="both"/>
        <w:rPr>
          <w:color w:val="000000"/>
          <w:sz w:val="18"/>
          <w:szCs w:val="18"/>
        </w:rPr>
      </w:pPr>
      <w:bookmarkStart w:id="40" w:name="_heading=h.1jlao46" w:colFirst="0" w:colLast="0"/>
      <w:bookmarkEnd w:id="40"/>
      <w:r>
        <w:rPr>
          <w:vertAlign w:val="superscript"/>
        </w:rPr>
        <w:footnoteRef/>
      </w:r>
      <w:r>
        <w:rPr>
          <w:color w:val="000000"/>
          <w:sz w:val="18"/>
          <w:szCs w:val="18"/>
        </w:rPr>
        <w:t xml:space="preserve"> Per approfondimenti in merito alla ricezione di documenti privi di firma, si veda il par. “4.1. – Documento ricevuto”.</w:t>
      </w:r>
    </w:p>
  </w:footnote>
  <w:footnote w:id="3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7">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8">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39">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1">
    <w:p w:rsidR="00EB4276" w:rsidRDefault="00EB4276">
      <w:pPr>
        <w:pBdr>
          <w:top w:val="nil"/>
          <w:left w:val="nil"/>
          <w:bottom w:val="nil"/>
          <w:right w:val="nil"/>
          <w:between w:val="nil"/>
        </w:pBdr>
        <w:spacing w:after="0" w:line="240" w:lineRule="auto"/>
        <w:jc w:val="both"/>
        <w:rPr>
          <w:color w:val="000000"/>
          <w:sz w:val="18"/>
          <w:szCs w:val="18"/>
        </w:rPr>
      </w:pPr>
      <w:bookmarkStart w:id="45" w:name="_heading=h.43ky6rz" w:colFirst="0" w:colLast="0"/>
      <w:bookmarkEnd w:id="45"/>
      <w:r>
        <w:rPr>
          <w:vertAlign w:val="superscript"/>
        </w:rPr>
        <w:footnoteRef/>
      </w:r>
      <w:r>
        <w:rPr>
          <w:color w:val="000000"/>
          <w:sz w:val="18"/>
          <w:szCs w:val="18"/>
        </w:rPr>
        <w:t xml:space="preserve"> Per approfondimenti in merito alla ricezione di documenti privi di firma, si veda il par. “4.1. – Documento ricevuto”</w:t>
      </w:r>
    </w:p>
  </w:footnote>
  <w:footnote w:id="42">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4">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7">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8">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49">
    <w:p w:rsidR="00EB4276" w:rsidRDefault="00EB4276">
      <w:pPr>
        <w:pBdr>
          <w:top w:val="nil"/>
          <w:left w:val="nil"/>
          <w:bottom w:val="nil"/>
          <w:right w:val="nil"/>
          <w:between w:val="nil"/>
        </w:pBdr>
        <w:spacing w:after="0" w:line="240" w:lineRule="auto"/>
        <w:jc w:val="both"/>
        <w:rPr>
          <w:color w:val="000000"/>
          <w:sz w:val="18"/>
          <w:szCs w:val="18"/>
        </w:rPr>
      </w:pPr>
      <w:bookmarkStart w:id="52" w:name="_heading=h.2iq8gzs" w:colFirst="0" w:colLast="0"/>
      <w:bookmarkEnd w:id="52"/>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1">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2">
    <w:p w:rsidR="00EB4276" w:rsidRDefault="00EB4276">
      <w:pPr>
        <w:pBdr>
          <w:top w:val="nil"/>
          <w:left w:val="nil"/>
          <w:bottom w:val="nil"/>
          <w:right w:val="nil"/>
          <w:between w:val="nil"/>
        </w:pBdr>
        <w:spacing w:after="0" w:line="240" w:lineRule="auto"/>
        <w:jc w:val="both"/>
        <w:rPr>
          <w:color w:val="000000"/>
          <w:sz w:val="18"/>
          <w:szCs w:val="18"/>
        </w:rPr>
      </w:pPr>
      <w:bookmarkStart w:id="55" w:name="_heading=h.xvir7l" w:colFirst="0" w:colLast="0"/>
      <w:bookmarkEnd w:id="55"/>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4">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5">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7">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8">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59">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0">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1">
    <w:p w:rsidR="00EB4276" w:rsidRPr="005A0B4C" w:rsidRDefault="00EB4276">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2">
    <w:p w:rsidR="00EB4276" w:rsidRPr="005A0B4C" w:rsidRDefault="00EB4276">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3">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abbiaa oggetto dati, informazioni o documenti oggetto di pubblicazione obbligatoria ai sensi del D.Lgs. 33/2013, è presentata al Responsabile per la prevenzione della corruzione e della trasparenza.</w:t>
      </w:r>
    </w:p>
  </w:footnote>
  <w:footnote w:id="64">
    <w:p w:rsidR="00EB4276" w:rsidRDefault="00EB4276">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5">
    <w:p w:rsidR="00EB4276" w:rsidRDefault="00EB4276">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6">
    <w:p w:rsidR="00EB4276" w:rsidRDefault="00EB4276">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2"/>
      <w:gridCol w:w="4438"/>
    </w:tblGrid>
    <w:tr w:rsidR="00EB4276" w:rsidTr="006F74F3">
      <w:trPr>
        <w:trHeight w:val="841"/>
      </w:trPr>
      <w:tc>
        <w:tcPr>
          <w:tcW w:w="4814" w:type="dxa"/>
          <w:vAlign w:val="center"/>
        </w:tcPr>
        <w:p w:rsidR="00EB4276" w:rsidRDefault="00EB4276">
          <w:pPr>
            <w:tabs>
              <w:tab w:val="center" w:pos="4819"/>
              <w:tab w:val="right" w:pos="9638"/>
            </w:tabs>
            <w:rPr>
              <w:color w:val="000000"/>
            </w:rPr>
          </w:pPr>
          <w:r>
            <w:rPr>
              <w:noProof/>
            </w:rPr>
            <w:drawing>
              <wp:anchor distT="0" distB="0" distL="114300" distR="114300" simplePos="0" relativeHeight="251662336" behindDoc="0" locked="0" layoutInCell="1" allowOverlap="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anchor>
            </w:drawing>
          </w:r>
        </w:p>
      </w:tc>
      <w:tc>
        <w:tcPr>
          <w:tcW w:w="4814" w:type="dxa"/>
          <w:vAlign w:val="center"/>
        </w:tcPr>
        <w:p w:rsidR="00EB4276" w:rsidRDefault="00EB4276" w:rsidP="006F74F3">
          <w:pPr>
            <w:tabs>
              <w:tab w:val="center" w:pos="4819"/>
              <w:tab w:val="right" w:pos="9638"/>
            </w:tabs>
            <w:jc w:val="right"/>
            <w:rPr>
              <w:color w:val="000000"/>
            </w:rPr>
          </w:pPr>
          <w:r>
            <w:rPr>
              <w:noProof/>
            </w:rPr>
            <w:drawing>
              <wp:inline distT="0" distB="0" distL="0" distR="0">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49600" cy="277200"/>
                        </a:xfrm>
                        <a:prstGeom prst="rect">
                          <a:avLst/>
                        </a:prstGeom>
                        <a:ln/>
                      </pic:spPr>
                    </pic:pic>
                  </a:graphicData>
                </a:graphic>
              </wp:inline>
            </w:drawing>
          </w:r>
        </w:p>
      </w:tc>
    </w:tr>
  </w:tbl>
  <w:p w:rsidR="00EB4276" w:rsidRDefault="00EB4276">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76" w:rsidRDefault="00EB4276">
    <w:r>
      <w:rPr>
        <w:noProof/>
      </w:rPr>
      <w:drawing>
        <wp:anchor distT="0" distB="0" distL="114300" distR="114300" simplePos="0" relativeHeight="251660288" behindDoc="0" locked="0" layoutInCell="1" allowOverlap="1">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tblPr>
    <w:tblGrid>
      <w:gridCol w:w="4824"/>
      <w:gridCol w:w="4814"/>
    </w:tblGrid>
    <w:tr w:rsidR="00EB4276">
      <w:trPr>
        <w:jc w:val="center"/>
      </w:trPr>
      <w:tc>
        <w:tcPr>
          <w:tcW w:w="4824" w:type="dxa"/>
          <w:shd w:val="clear" w:color="auto" w:fill="auto"/>
        </w:tcPr>
        <w:p w:rsidR="00EB4276" w:rsidRDefault="00EB4276">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rsidR="00EB4276" w:rsidRDefault="00EB4276">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rsidR="00EB4276" w:rsidRDefault="00EB4276">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rsidR="00EB4276" w:rsidRDefault="00EB4276">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rsidR="00EB4276" w:rsidRDefault="00EB4276">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rsidR="00EB4276" w:rsidRDefault="00EB4276">
          <w:pPr>
            <w:pBdr>
              <w:top w:val="nil"/>
              <w:left w:val="nil"/>
              <w:bottom w:val="nil"/>
              <w:right w:val="nil"/>
              <w:between w:val="nil"/>
            </w:pBdr>
            <w:spacing w:before="1" w:line="269" w:lineRule="auto"/>
            <w:jc w:val="both"/>
            <w:rPr>
              <w:rFonts w:ascii="Corsiva" w:eastAsia="Corsiva" w:hAnsi="Corsiva" w:cs="Corsiva"/>
              <w:color w:val="000000"/>
            </w:rPr>
          </w:pPr>
        </w:p>
      </w:tc>
    </w:tr>
  </w:tbl>
  <w:p w:rsidR="00EB4276" w:rsidRDefault="00EB4276">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0256506"/>
    <w:multiLevelType w:val="hybridMultilevel"/>
    <w:tmpl w:val="E8BAE488"/>
    <w:lvl w:ilvl="0" w:tplc="50628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1E00BB2"/>
    <w:multiLevelType w:val="hybridMultilevel"/>
    <w:tmpl w:val="C41A94CE"/>
    <w:lvl w:ilvl="0" w:tplc="78676548">
      <w:start w:val="1"/>
      <w:numFmt w:val="decimal"/>
      <w:lvlText w:val="%1."/>
      <w:lvlJc w:val="left"/>
      <w:pPr>
        <w:ind w:left="720" w:hanging="360"/>
      </w:pPr>
    </w:lvl>
    <w:lvl w:ilvl="1" w:tplc="78676548" w:tentative="1">
      <w:start w:val="1"/>
      <w:numFmt w:val="lowerLetter"/>
      <w:lvlText w:val="%2."/>
      <w:lvlJc w:val="left"/>
      <w:pPr>
        <w:ind w:left="1440" w:hanging="360"/>
      </w:pPr>
    </w:lvl>
    <w:lvl w:ilvl="2" w:tplc="78676548" w:tentative="1">
      <w:start w:val="1"/>
      <w:numFmt w:val="lowerRoman"/>
      <w:lvlText w:val="%3."/>
      <w:lvlJc w:val="right"/>
      <w:pPr>
        <w:ind w:left="2160" w:hanging="180"/>
      </w:pPr>
    </w:lvl>
    <w:lvl w:ilvl="3" w:tplc="78676548" w:tentative="1">
      <w:start w:val="1"/>
      <w:numFmt w:val="decimal"/>
      <w:lvlText w:val="%4."/>
      <w:lvlJc w:val="left"/>
      <w:pPr>
        <w:ind w:left="2880" w:hanging="360"/>
      </w:pPr>
    </w:lvl>
    <w:lvl w:ilvl="4" w:tplc="78676548" w:tentative="1">
      <w:start w:val="1"/>
      <w:numFmt w:val="lowerLetter"/>
      <w:lvlText w:val="%5."/>
      <w:lvlJc w:val="left"/>
      <w:pPr>
        <w:ind w:left="3600" w:hanging="360"/>
      </w:pPr>
    </w:lvl>
    <w:lvl w:ilvl="5" w:tplc="78676548" w:tentative="1">
      <w:start w:val="1"/>
      <w:numFmt w:val="lowerRoman"/>
      <w:lvlText w:val="%6."/>
      <w:lvlJc w:val="right"/>
      <w:pPr>
        <w:ind w:left="4320" w:hanging="180"/>
      </w:pPr>
    </w:lvl>
    <w:lvl w:ilvl="6" w:tplc="78676548" w:tentative="1">
      <w:start w:val="1"/>
      <w:numFmt w:val="decimal"/>
      <w:lvlText w:val="%7."/>
      <w:lvlJc w:val="left"/>
      <w:pPr>
        <w:ind w:left="5040" w:hanging="360"/>
      </w:pPr>
    </w:lvl>
    <w:lvl w:ilvl="7" w:tplc="78676548" w:tentative="1">
      <w:start w:val="1"/>
      <w:numFmt w:val="lowerLetter"/>
      <w:lvlText w:val="%8."/>
      <w:lvlJc w:val="left"/>
      <w:pPr>
        <w:ind w:left="5760" w:hanging="360"/>
      </w:pPr>
    </w:lvl>
    <w:lvl w:ilvl="8" w:tplc="78676548" w:tentative="1">
      <w:start w:val="1"/>
      <w:numFmt w:val="lowerRoman"/>
      <w:lvlText w:val="%9."/>
      <w:lvlJc w:val="right"/>
      <w:pPr>
        <w:ind w:left="6480" w:hanging="180"/>
      </w:pPr>
    </w:lvl>
  </w:abstractNum>
  <w:abstractNum w:abstractNumId="2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2">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7">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3"/>
  </w:num>
  <w:num w:numId="3">
    <w:abstractNumId w:val="24"/>
  </w:num>
  <w:num w:numId="4">
    <w:abstractNumId w:val="25"/>
  </w:num>
  <w:num w:numId="5">
    <w:abstractNumId w:val="7"/>
  </w:num>
  <w:num w:numId="6">
    <w:abstractNumId w:val="16"/>
  </w:num>
  <w:num w:numId="7">
    <w:abstractNumId w:val="20"/>
  </w:num>
  <w:num w:numId="8">
    <w:abstractNumId w:val="4"/>
  </w:num>
  <w:num w:numId="9">
    <w:abstractNumId w:val="26"/>
  </w:num>
  <w:num w:numId="10">
    <w:abstractNumId w:val="34"/>
  </w:num>
  <w:num w:numId="11">
    <w:abstractNumId w:val="11"/>
  </w:num>
  <w:num w:numId="12">
    <w:abstractNumId w:val="0"/>
  </w:num>
  <w:num w:numId="13">
    <w:abstractNumId w:val="36"/>
  </w:num>
  <w:num w:numId="14">
    <w:abstractNumId w:val="18"/>
  </w:num>
  <w:num w:numId="15">
    <w:abstractNumId w:val="28"/>
  </w:num>
  <w:num w:numId="16">
    <w:abstractNumId w:val="23"/>
  </w:num>
  <w:num w:numId="17">
    <w:abstractNumId w:val="9"/>
  </w:num>
  <w:num w:numId="18">
    <w:abstractNumId w:val="15"/>
  </w:num>
  <w:num w:numId="19">
    <w:abstractNumId w:val="31"/>
  </w:num>
  <w:num w:numId="20">
    <w:abstractNumId w:val="12"/>
  </w:num>
  <w:num w:numId="21">
    <w:abstractNumId w:val="29"/>
  </w:num>
  <w:num w:numId="22">
    <w:abstractNumId w:val="22"/>
  </w:num>
  <w:num w:numId="23">
    <w:abstractNumId w:val="2"/>
  </w:num>
  <w:num w:numId="24">
    <w:abstractNumId w:val="39"/>
  </w:num>
  <w:num w:numId="25">
    <w:abstractNumId w:val="5"/>
  </w:num>
  <w:num w:numId="26">
    <w:abstractNumId w:val="30"/>
  </w:num>
  <w:num w:numId="27">
    <w:abstractNumId w:val="40"/>
  </w:num>
  <w:num w:numId="28">
    <w:abstractNumId w:val="8"/>
  </w:num>
  <w:num w:numId="29">
    <w:abstractNumId w:val="1"/>
  </w:num>
  <w:num w:numId="30">
    <w:abstractNumId w:val="27"/>
  </w:num>
  <w:num w:numId="31">
    <w:abstractNumId w:val="3"/>
  </w:num>
  <w:num w:numId="32">
    <w:abstractNumId w:val="17"/>
  </w:num>
  <w:num w:numId="33">
    <w:abstractNumId w:val="35"/>
  </w:num>
  <w:num w:numId="34">
    <w:abstractNumId w:val="32"/>
  </w:num>
  <w:num w:numId="35">
    <w:abstractNumId w:val="38"/>
  </w:num>
  <w:num w:numId="36">
    <w:abstractNumId w:val="37"/>
  </w:num>
  <w:num w:numId="37">
    <w:abstractNumId w:val="21"/>
  </w:num>
  <w:num w:numId="38">
    <w:abstractNumId w:val="6"/>
  </w:num>
  <w:num w:numId="39">
    <w:abstractNumId w:val="14"/>
  </w:num>
  <w:num w:numId="40">
    <w:abstractNumId w:val="13"/>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hyphenationZone w:val="283"/>
  <w:characterSpacingControl w:val="doNotCompress"/>
  <w:hdrShapeDefaults>
    <o:shapedefaults v:ext="edit" spidmax="10242"/>
  </w:hdrShapeDefaults>
  <w:footnotePr>
    <w:footnote w:id="0"/>
    <w:footnote w:id="1"/>
  </w:footnotePr>
  <w:endnotePr>
    <w:endnote w:id="0"/>
    <w:endnote w:id="1"/>
  </w:endnotePr>
  <w:compat/>
  <w:rsids>
    <w:rsidRoot w:val="00047104"/>
    <w:rsid w:val="00022D06"/>
    <w:rsid w:val="00047104"/>
    <w:rsid w:val="00082781"/>
    <w:rsid w:val="000F145B"/>
    <w:rsid w:val="000F6D43"/>
    <w:rsid w:val="0013782B"/>
    <w:rsid w:val="001C7CB0"/>
    <w:rsid w:val="00223AD5"/>
    <w:rsid w:val="00356EE9"/>
    <w:rsid w:val="004118E1"/>
    <w:rsid w:val="004C735C"/>
    <w:rsid w:val="005A0B4C"/>
    <w:rsid w:val="00627BF7"/>
    <w:rsid w:val="00652D5D"/>
    <w:rsid w:val="006F74F3"/>
    <w:rsid w:val="00700CA2"/>
    <w:rsid w:val="00710787"/>
    <w:rsid w:val="007169CB"/>
    <w:rsid w:val="00745AA4"/>
    <w:rsid w:val="00745D9A"/>
    <w:rsid w:val="007C0E5E"/>
    <w:rsid w:val="009948D8"/>
    <w:rsid w:val="009D1D66"/>
    <w:rsid w:val="00A51123"/>
    <w:rsid w:val="00B07428"/>
    <w:rsid w:val="00B119DC"/>
    <w:rsid w:val="00B57CFE"/>
    <w:rsid w:val="00BE5649"/>
    <w:rsid w:val="00CC27DD"/>
    <w:rsid w:val="00CF580C"/>
    <w:rsid w:val="00D113DA"/>
    <w:rsid w:val="00D16634"/>
    <w:rsid w:val="00D51119"/>
    <w:rsid w:val="00DF70B6"/>
    <w:rsid w:val="00E109B1"/>
    <w:rsid w:val="00E21EBC"/>
    <w:rsid w:val="00EB4276"/>
    <w:rsid w:val="00EC28DF"/>
    <w:rsid w:val="00EC322F"/>
    <w:rsid w:val="00FD16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rsid w:val="00356EE9"/>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356EE9"/>
    <w:pPr>
      <w:keepNext/>
      <w:keepLines/>
      <w:spacing w:before="220" w:after="40"/>
      <w:outlineLvl w:val="4"/>
    </w:pPr>
    <w:rPr>
      <w:b/>
    </w:rPr>
  </w:style>
  <w:style w:type="paragraph" w:styleId="Titolo6">
    <w:name w:val="heading 6"/>
    <w:basedOn w:val="Normale"/>
    <w:next w:val="Normale"/>
    <w:uiPriority w:val="9"/>
    <w:semiHidden/>
    <w:unhideWhenUsed/>
    <w:qFormat/>
    <w:rsid w:val="00356EE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56EE9"/>
    <w:tblPr>
      <w:tblCellMar>
        <w:top w:w="0" w:type="dxa"/>
        <w:left w:w="0" w:type="dxa"/>
        <w:bottom w:w="0" w:type="dxa"/>
        <w:right w:w="0" w:type="dxa"/>
      </w:tblCellMar>
    </w:tblPr>
  </w:style>
  <w:style w:type="paragraph" w:styleId="Titolo">
    <w:name w:val="Title"/>
    <w:basedOn w:val="Normale"/>
    <w:next w:val="Normale"/>
    <w:uiPriority w:val="10"/>
    <w:qFormat/>
    <w:rsid w:val="00356EE9"/>
    <w:pPr>
      <w:keepNext/>
      <w:keepLines/>
      <w:spacing w:before="480" w:after="120"/>
    </w:pPr>
    <w:rPr>
      <w:b/>
      <w:sz w:val="72"/>
      <w:szCs w:val="72"/>
    </w:rPr>
  </w:style>
  <w:style w:type="table" w:customStyle="1" w:styleId="TableNormal0">
    <w:name w:val="Table Normal"/>
    <w:rsid w:val="00356EE9"/>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356EE9"/>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Menzionenonrisolta1">
    <w:name w:val="Menzione non risolta1"/>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deltesto">
    <w:name w:val="Body Text"/>
    <w:basedOn w:val="Normale"/>
    <w:link w:val="Corpodel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deltestoCarattere">
    <w:name w:val="Corpo del testo Carattere"/>
    <w:basedOn w:val="Carpredefinitoparagrafo"/>
    <w:link w:val="Corpodeltesto"/>
    <w:rsid w:val="00292CD0"/>
    <w:rPr>
      <w:rFonts w:ascii="Times New Roman" w:eastAsia="Times New Roman" w:hAnsi="Times New Roman" w:cs="Times New Roman"/>
      <w:sz w:val="24"/>
      <w:szCs w:val="20"/>
      <w:lang w:eastAsia="zh-CN"/>
    </w:rPr>
  </w:style>
  <w:style w:type="table" w:customStyle="1" w:styleId="a">
    <w:basedOn w:val="TableNormal0"/>
    <w:rsid w:val="00356EE9"/>
    <w:tblPr>
      <w:tblStyleRowBandSize w:val="1"/>
      <w:tblStyleColBandSize w:val="1"/>
      <w:tblCellMar>
        <w:top w:w="0" w:type="dxa"/>
        <w:left w:w="144" w:type="dxa"/>
        <w:bottom w:w="0" w:type="dxa"/>
        <w:right w:w="115" w:type="dxa"/>
      </w:tblCellMar>
    </w:tblPr>
  </w:style>
  <w:style w:type="table" w:customStyle="1" w:styleId="a0">
    <w:basedOn w:val="TableNormal0"/>
    <w:rsid w:val="00356EE9"/>
    <w:tblPr>
      <w:tblStyleRowBandSize w:val="1"/>
      <w:tblStyleColBandSize w:val="1"/>
      <w:tblCellMar>
        <w:top w:w="0" w:type="dxa"/>
        <w:left w:w="115" w:type="dxa"/>
        <w:bottom w:w="0" w:type="dxa"/>
        <w:right w:w="115" w:type="dxa"/>
      </w:tblCellMar>
    </w:tblPr>
  </w:style>
  <w:style w:type="table" w:customStyle="1" w:styleId="a1">
    <w:basedOn w:val="TableNormal0"/>
    <w:rsid w:val="00356EE9"/>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rsid w:val="00356EE9"/>
    <w:tblPr>
      <w:tblStyleRowBandSize w:val="1"/>
      <w:tblStyleColBandSize w:val="1"/>
      <w:tblCellMar>
        <w:top w:w="0" w:type="dxa"/>
        <w:left w:w="115" w:type="dxa"/>
        <w:bottom w:w="0" w:type="dxa"/>
        <w:right w:w="115" w:type="dxa"/>
      </w:tblCellMar>
    </w:tblPr>
  </w:style>
  <w:style w:type="table" w:customStyle="1" w:styleId="a3">
    <w:basedOn w:val="TableNormal0"/>
    <w:rsid w:val="00356EE9"/>
    <w:pPr>
      <w:spacing w:after="0" w:line="240" w:lineRule="auto"/>
    </w:pPr>
    <w:tblPr>
      <w:tblStyleRowBandSize w:val="1"/>
      <w:tblStyleColBandSize w:val="1"/>
      <w:tblCellMar>
        <w:top w:w="0" w:type="dxa"/>
        <w:left w:w="115" w:type="dxa"/>
        <w:bottom w:w="0" w:type="dxa"/>
        <w:right w:w="115" w:type="dxa"/>
      </w:tblCellMar>
    </w:tblPr>
  </w:style>
  <w:style w:type="table" w:customStyle="1" w:styleId="a4">
    <w:basedOn w:val="TableNormal0"/>
    <w:rsid w:val="00356EE9"/>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0"/>
    <w:rsid w:val="00356EE9"/>
    <w:pPr>
      <w:spacing w:after="0" w:line="240" w:lineRule="auto"/>
    </w:pPr>
    <w:tblPr>
      <w:tblStyleRowBandSize w:val="1"/>
      <w:tblStyleColBandSize w:val="1"/>
      <w:tblCellMar>
        <w:top w:w="0" w:type="dxa"/>
        <w:left w:w="115" w:type="dxa"/>
        <w:bottom w:w="0"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rsid w:val="00356EE9"/>
    <w:pPr>
      <w:spacing w:after="0" w:line="240" w:lineRule="auto"/>
    </w:pPr>
    <w:tblPr>
      <w:tblStyleRowBandSize w:val="1"/>
      <w:tblStyleColBandSize w:val="1"/>
      <w:tblCellMar>
        <w:top w:w="0" w:type="dxa"/>
        <w:left w:w="115" w:type="dxa"/>
        <w:bottom w:w="0" w:type="dxa"/>
        <w:right w:w="115" w:type="dxa"/>
      </w:tblCellMar>
    </w:tblPr>
  </w:style>
  <w:style w:type="character" w:customStyle="1" w:styleId="DefaultParagraphFontPHPDOCX">
    <w:name w:val="Default Paragraph Font PHPDOCX"/>
    <w:uiPriority w:val="1"/>
    <w:semiHidden/>
    <w:unhideWhenUsed/>
    <w:rsid w:val="00356EE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356EE9"/>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14833</Words>
  <Characters>84554</Characters>
  <Application>Microsoft Office Word</Application>
  <DocSecurity>0</DocSecurity>
  <Lines>704</Lines>
  <Paragraphs>198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Elena</cp:lastModifiedBy>
  <cp:revision>8</cp:revision>
  <dcterms:created xsi:type="dcterms:W3CDTF">2025-06-16T11:22:00Z</dcterms:created>
  <dcterms:modified xsi:type="dcterms:W3CDTF">2025-06-25T06:41:00Z</dcterms:modified>
</cp:coreProperties>
</file>