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-139" w:firstLine="0"/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DICHIARAZIONE SOSTITUTIVA DELL’ATTO DI NOTORIETÀ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-139"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art. 47 del D.P.R. 28.12.2000, n. 445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16" w:lineRule="auto"/>
        <w:ind w:left="120" w:right="0" w:firstLine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Il sottoscritto _________________________, nato a _________ _________il ______________, residente a _____________________in Via/Piazza_________________, nella sua qualità di _______________ e legale rappresentante dello Studio/Ditta______________________con sede legale in______________________, Via/Piazza___________________, C.F.________________________, P.IVA n._______________________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20" w:right="0" w:firstLine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e, limitatamente alle successive lettere a), b), c), d), e), f), g) in nome e per conto dei seguenti soggetti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20" w:right="0" w:firstLine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vedere Nota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20" w:right="0" w:firstLine="0"/>
        <w:rPr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vertAlign w:val="baseline"/>
          <w:rtl w:val="0"/>
        </w:rPr>
        <w:t xml:space="preserve">indicare i soggetti per cui si rendono le dichiarazioni)</w:t>
      </w:r>
    </w:p>
    <w:tbl>
      <w:tblPr>
        <w:tblStyle w:val="Table1"/>
        <w:tblW w:w="9800.0" w:type="dxa"/>
        <w:jc w:val="left"/>
        <w:tblLayout w:type="fixed"/>
        <w:tblLook w:val="0000"/>
      </w:tblPr>
      <w:tblGrid>
        <w:gridCol w:w="1980"/>
        <w:gridCol w:w="1960"/>
        <w:gridCol w:w="1960"/>
        <w:gridCol w:w="2020"/>
        <w:gridCol w:w="1880"/>
        <w:tblGridChange w:id="0">
          <w:tblGrid>
            <w:gridCol w:w="1980"/>
            <w:gridCol w:w="1960"/>
            <w:gridCol w:w="1960"/>
            <w:gridCol w:w="2020"/>
            <w:gridCol w:w="188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ind w:left="120" w:right="0" w:firstLine="0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ind w:left="80" w:right="0" w:firstLine="0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DATA  E  LUOGO 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ind w:left="80" w:right="0" w:firstLine="0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ind w:left="80" w:right="0" w:firstLine="0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RESIDENZA  (INDIRIZZO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ind w:left="100" w:right="0" w:firstLine="0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ind w:left="80" w:right="0" w:firstLine="0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ind w:left="80" w:right="0" w:firstLine="0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16" w:lineRule="auto"/>
        <w:ind w:left="120" w:right="16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consapevole delle sanzioni penali previste dall’art. 76 del D.P.R. 28/12/2000 n. 445, nel caso di dichiarazioni mendaci, esibizione di atti falsi o contenenti dati non più corrispondenti al 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right="4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right="40" w:hanging="36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impegnarsi a comunicare tempestivamente qualsiasi variazione dei dati sopra riportati;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right="40" w:hanging="36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possedere i requisiti di idoneità professionale, capacità economica e finanziaria, capacità tecniche e professionali attinenti  all’oggetto dell’appalto, ai sensi dell’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 83 del D.lgs 50/2016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right="40" w:hanging="36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l’inesistenza delle cause di esclusione dalla partecipazione ad una procedura d’appalto o concessione elencate nell’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 80 del D.lgs  50/2016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ed in particolare: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tabs>
          <w:tab w:val="left" w:pos="480"/>
        </w:tabs>
        <w:spacing w:line="228" w:lineRule="auto"/>
        <w:ind w:left="480" w:right="160" w:hanging="367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tabs>
          <w:tab w:val="left" w:pos="820"/>
        </w:tabs>
        <w:spacing w:line="232" w:lineRule="auto"/>
        <w:ind w:left="820" w:right="160" w:hanging="359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tabs>
          <w:tab w:val="left" w:pos="820"/>
        </w:tabs>
        <w:spacing w:line="223" w:lineRule="auto"/>
        <w:ind w:left="820" w:right="140" w:hanging="424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delitti, consumati o tentati, di cui agli articoli 317, 318, 319, 319-ter, 319-quater, 320, 321, 322, 322-ebis, 346-bis, 353, 353-bis, 354, 355 e 356 del codice penale nonché all’articolo 2635 del codice civile;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tabs>
          <w:tab w:val="left" w:pos="820"/>
        </w:tabs>
        <w:spacing w:line="216" w:lineRule="auto"/>
        <w:ind w:left="820" w:right="160" w:hanging="424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frode ai sensi dell’articolo 1 della convenzione relativa alla tutela degli interessi finanziari delle Comunità europee;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3A">
      <w:pPr>
        <w:numPr>
          <w:ilvl w:val="1"/>
          <w:numId w:val="3"/>
        </w:numPr>
        <w:tabs>
          <w:tab w:val="left" w:pos="820"/>
        </w:tabs>
        <w:ind w:left="820" w:right="160" w:hanging="424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delitti, consumati o tentati, commessi con finalità di terrorismo, anche internazionale, e di eversione dell’ordine costituzionale reati terroristici o reati connessi alle attività terroristiche;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tabs>
          <w:tab w:val="left" w:pos="707"/>
        </w:tabs>
        <w:spacing w:line="216" w:lineRule="auto"/>
        <w:ind w:left="707" w:right="20" w:hanging="424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delitti di cui agli articoli 648-bis, 648-ter e 648-ter.1 del codice penale, riciclaggio di proventi di attività criminose o finanziamento del terrorismo, quali definiti all’articolo 1 del decreto legislativo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0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22 giugno 2007, n. 109 e successive modificazioni;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tabs>
          <w:tab w:val="left" w:pos="707"/>
        </w:tabs>
        <w:spacing w:line="216" w:lineRule="auto"/>
        <w:ind w:left="707" w:right="20" w:hanging="359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sfruttamento del lavoro minorile e altre forme di tratta di esseri umani definite con il decreto legislativo 4 marzo 2014, n. 24;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tabs>
          <w:tab w:val="left" w:pos="707"/>
        </w:tabs>
        <w:spacing w:line="216" w:lineRule="auto"/>
        <w:ind w:left="707" w:right="0" w:hanging="359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ogni altro delitto da cui derivi, quale pena accessoria, l’incapacità di contrattare con la pubblica amministrazione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16" w:lineRule="auto"/>
        <w:ind w:left="567" w:right="2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aver riportato le seguenti condanne: (indicare il/i soggetto/i specificando ruolo, imputazione, condanna)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56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6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56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37" w:lineRule="auto"/>
        <w:ind w:left="56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tabs>
          <w:tab w:val="left" w:pos="367"/>
        </w:tabs>
        <w:spacing w:line="223" w:lineRule="auto"/>
        <w:ind w:left="367" w:right="0" w:hanging="367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non sussiste la causa di decadenza, di sospensione o di divieto previste dall’articolo 67 del decreto legislativo 6 settembre 2011, n. 159 o di un tentativo di infiltrazione mafiosa di cui all’articolo 84, comma 4, del medesimo decreto;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tabs>
          <w:tab w:val="left" w:pos="367"/>
        </w:tabs>
        <w:ind w:left="367" w:right="0" w:hanging="367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non ha commesso violazioni gravi, definitivamente accertate, rispetto agli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04" w:lineRule="auto"/>
        <w:ind w:left="367" w:right="2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obblighi relativi al pagamento delle imposte e tasse o dei contributi previdenziali, secondo la legislazione italiana o quella dello Stato in cui sono stabiliti</w:t>
      </w:r>
      <w:r w:rsidDel="00000000" w:rsidR="00000000" w:rsidRPr="00000000">
        <w:rPr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ed indica all’uopo i seguenti dati: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04" w:lineRule="auto"/>
        <w:ind w:left="367" w:right="2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707"/>
        </w:tabs>
        <w:spacing w:line="182" w:lineRule="auto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Ufficio Locale dell’Agenzia delle Entrate competente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Noto Sans" w:cs="Noto Sans" w:eastAsia="Noto Sans" w:hAnsi="Noto Sans"/>
          <w:sz w:val="27"/>
          <w:szCs w:val="27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2"/>
          <w:numId w:val="5"/>
        </w:numPr>
        <w:tabs>
          <w:tab w:val="left" w:pos="987"/>
        </w:tabs>
        <w:spacing w:line="194" w:lineRule="auto"/>
        <w:ind w:left="987" w:right="0" w:hanging="275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Indirizzo: 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2"/>
          <w:numId w:val="5"/>
        </w:numPr>
        <w:tabs>
          <w:tab w:val="left" w:pos="987"/>
        </w:tabs>
        <w:ind w:left="987" w:right="0" w:hanging="275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numero di telefono: 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2"/>
          <w:numId w:val="5"/>
        </w:numPr>
        <w:tabs>
          <w:tab w:val="left" w:pos="987"/>
        </w:tabs>
        <w:ind w:left="987" w:right="0" w:hanging="275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pec, fax e/o e-mail: 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tabs>
          <w:tab w:val="left" w:pos="367"/>
        </w:tabs>
        <w:spacing w:line="223" w:lineRule="auto"/>
        <w:ind w:left="367" w:right="0" w:hanging="367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non ha commesso gravi infrazioni debitamente accertate alle norme in materia di salute e sicurezza sul lavoro nonché agli obblighi di cui all’articolo 30, comma 3 del D. lgs. 50/2016;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tabs>
          <w:tab w:val="left" w:pos="367"/>
        </w:tabs>
        <w:spacing w:line="223" w:lineRule="auto"/>
        <w:ind w:left="367" w:right="0" w:hanging="367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36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110 del D. lgs. 50/2016;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tabs>
          <w:tab w:val="left" w:pos="367"/>
        </w:tabs>
        <w:spacing w:line="204" w:lineRule="auto"/>
        <w:ind w:left="367" w:right="0" w:hanging="367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non si è reso colpevole di gravi illeciti professionali, tali da rendere dubbia la sua integrità o affidabilità</w:t>
      </w:r>
      <w:r w:rsidDel="00000000" w:rsidR="00000000" w:rsidRPr="00000000">
        <w:rPr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tabs>
          <w:tab w:val="left" w:pos="367"/>
        </w:tabs>
        <w:spacing w:line="204" w:lineRule="auto"/>
        <w:ind w:left="367" w:right="0" w:hanging="367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he la propria partecipazione non determina una situazione di conflitto di interesse ai sensi dell’articolo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1230"/>
          <w:tab w:val="left" w:pos="2970"/>
          <w:tab w:val="right" w:pos="9680"/>
        </w:tabs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42, comma 2 del D.lgs 50/2016, non diversamente risolvibile;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tabs>
          <w:tab w:val="left" w:pos="367"/>
        </w:tabs>
        <w:spacing w:line="220" w:lineRule="auto"/>
        <w:ind w:left="369" w:hanging="369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la propria partecipazione non determina una distorsione della concorrenza derivante dal proprio precedente coinvolgimento nella preparazione della procedura d’appalto di cui all’articolo 67 del D.lgs    50/2016 che non possa essere risolta con misure meno intrusive;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tabs>
          <w:tab w:val="left" w:pos="367"/>
        </w:tabs>
        <w:spacing w:line="228" w:lineRule="auto"/>
        <w:ind w:left="369" w:right="20" w:hanging="369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 interdittivi di cui all’articolo 14 del decreto legislativo 9 aprile 2008, n. 81;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left" w:pos="367"/>
        </w:tabs>
        <w:spacing w:line="225" w:lineRule="auto"/>
        <w:ind w:left="369" w:right="20" w:hanging="369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tabs>
          <w:tab w:val="left" w:pos="367"/>
        </w:tabs>
        <w:spacing w:line="216" w:lineRule="auto"/>
        <w:ind w:left="369" w:right="20" w:hanging="369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non ha violato il divieto di intestazione fiduciaria di cui all’articolo 17 della legge 19 marzo 1990, n. 55;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tabs>
          <w:tab w:val="left" w:pos="367"/>
        </w:tabs>
        <w:ind w:left="369" w:hanging="369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che, ai sensi dell’art. 17 della legge 12.03.1999, n. 68: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40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Barrare la casella di interesse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00025" cy="2000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1230" y="3696180"/>
                          <a:ext cx="129540" cy="1676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9191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00025" cy="200025"/>
                <wp:effectExtent b="0" l="0" r="0" t="0"/>
                <wp:wrapNone/>
                <wp:docPr id="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tabs>
          <w:tab w:val="left" w:pos="727"/>
        </w:tabs>
        <w:spacing w:line="218" w:lineRule="auto"/>
        <w:ind w:left="360" w:right="2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_________________________di _________________, Via ________________________n. ___________ fax _____________ e-mail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727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l’operatore economico non è soggetto agli obblighi di assunzione obbligatoria previsti dalla Legge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200025" cy="2000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1230" y="3696180"/>
                          <a:ext cx="129540" cy="1676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9191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200025" cy="200025"/>
                <wp:effectExtent b="0" l="0" r="0" t="0"/>
                <wp:wrapNone/>
                <wp:docPr id="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ind w:left="72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68/99 per i seguenti motivi: [indicare i motivi di esenzione]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200025" cy="2000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1230" y="3696180"/>
                          <a:ext cx="129540" cy="1676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9191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200025" cy="200025"/>
                <wp:effectExtent b="0" l="0" r="0" t="0"/>
                <wp:wrapNone/>
                <wp:docPr id="2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tabs>
          <w:tab w:val="left" w:pos="727"/>
        </w:tabs>
        <w:spacing w:line="216" w:lineRule="auto"/>
        <w:ind w:left="360" w:right="2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 _____________________(Stato estero) non esiste una normativa sull’assunzione obbligatoria dei disabili;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tabs>
          <w:tab w:val="left" w:pos="347"/>
        </w:tabs>
        <w:ind w:left="347" w:right="0" w:hanging="347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34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Barrare la casella di interesse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00025" cy="2000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1230" y="3696180"/>
                          <a:ext cx="129540" cy="1676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9191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00025" cy="200025"/>
                <wp:effectExtent b="0" l="0" r="0" t="0"/>
                <wp:wrapNone/>
                <wp:docPr id="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A">
      <w:pPr>
        <w:tabs>
          <w:tab w:val="left" w:pos="707"/>
        </w:tabs>
        <w:spacing w:line="223" w:lineRule="auto"/>
        <w:ind w:left="356" w:right="2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non è stato vittima dei reati previsti e puniti dagli artt. 317 e 629 c.p., aggravati ai sensi dell’art. 7 del decreto legge 13 maggio 1991, n. 152, convertito, con modificazioni, dalla legge 12 luglio 1991 n. 203;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727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è stato vittima dei suddetti reati ma hanno denunciato i fatti all’autorità giudiziaria;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200025" cy="2000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1230" y="3696180"/>
                          <a:ext cx="129540" cy="1676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9191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200025" cy="200025"/>
                <wp:effectExtent b="0" l="0" r="0" t="0"/>
                <wp:wrapNone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190500</wp:posOffset>
                </wp:positionV>
                <wp:extent cx="200025" cy="2000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1230" y="3696180"/>
                          <a:ext cx="129540" cy="1676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9191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190500</wp:posOffset>
                </wp:positionV>
                <wp:extent cx="200025" cy="200025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tabs>
          <w:tab w:val="left" w:pos="727"/>
        </w:tabs>
        <w:spacing w:line="216" w:lineRule="auto"/>
        <w:ind w:left="360" w:right="2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è stato vittima dei reati previsti e puniti dagli artt. 317 e 629 c.p., aggravati ai sensi dell’art. 7 del decreto legge 13 maggio 1991, n. 152, convertito, con modificazioni, dalla legge 12 luglio 1991 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203, e non hanno denunciato i fatti all’autorità giudiziaria, in quanto ricorrono i casi previsti dall’art.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7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4, 1 comma, della legge 24 novembre 1981, n. 689.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tabs>
          <w:tab w:val="left" w:pos="347"/>
        </w:tabs>
        <w:ind w:left="347" w:right="0" w:hanging="347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Barrare la casella di interesse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707"/>
        </w:tabs>
        <w:spacing w:line="228" w:lineRule="auto"/>
        <w:ind w:left="426" w:right="2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00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1230" y="3696180"/>
                          <a:ext cx="129540" cy="1676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9191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0025"/>
                <wp:effectExtent b="0" l="0" r="0" t="0"/>
                <wp:wrapNone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4665" y="3780000"/>
                          <a:ext cx="61226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840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ovvero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840"/>
        </w:tabs>
        <w:spacing w:line="230" w:lineRule="auto"/>
        <w:ind w:left="473" w:right="2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200025" cy="2000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1230" y="3696180"/>
                          <a:ext cx="129540" cy="1676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9191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200025" cy="200025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B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840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ovvero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190500</wp:posOffset>
                </wp:positionV>
                <wp:extent cx="200025" cy="2000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1230" y="3696180"/>
                          <a:ext cx="129540" cy="1676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9191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190500</wp:posOffset>
                </wp:positionV>
                <wp:extent cx="200025" cy="200025"/>
                <wp:effectExtent b="0" l="0" r="0" t="0"/>
                <wp:wrapNone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tabs>
          <w:tab w:val="left" w:pos="820"/>
        </w:tabs>
        <w:spacing w:line="230" w:lineRule="auto"/>
        <w:ind w:left="469" w:right="2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Noto Sans" w:cs="Noto Sans" w:eastAsia="Noto Sans" w:hAnsi="No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40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Dichiara inoltre: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ind w:left="760" w:hanging="36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la Ditta è iscritta/assicurata ai seguenti enti previdenziali: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760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INPS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Matricola azienda n.______________sede competente_________________cap__________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760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INAIL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Codice ditta ____________________sede competente_________________cap__________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ind w:left="760" w:hanging="36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esiste la correttezza degli adempimenti periodici relativi al versamento di contributi dovuti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760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INPS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versamento contributivo regolare alla data odierna;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760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INAIL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versamento contributivo regolare alla data odierna;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ind w:left="760" w:hanging="36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non sono in corso controversie amministrative/giudiziali per l’esistenza di debiti contributivi;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ind w:left="760" w:hanging="36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non esistono in atto inadempienze e/o rettifiche notificate, non contestate e non pagate.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23" w:lineRule="auto"/>
        <w:ind w:left="40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Dichiara di essere informato, ai sensi e per gli effetti di cui al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GDPR 2016/679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che i dati personali raccolti saranno trattati, anche con strumenti informatici, esclusivamente nell’ambito del procedimento per il quale la presente dichiarazione viene 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40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_____________________________, lì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2140"/>
        </w:tabs>
        <w:ind w:left="40" w:right="0" w:firstLine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luogo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                                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data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570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                    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606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                   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(F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irma del dichiarante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4560" w:right="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4560" w:right="0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567" w:right="0" w:firstLine="0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Allega fotocopia del documento di riconoscimento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40" w:right="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40" w:right="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40" w:right="0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40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Nota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16" w:lineRule="auto"/>
        <w:ind w:left="40" w:right="2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 dichiarazioni di cui alle lettere a), b), c), d), e), f), g) del presente facsimile devono essere rese anche in nome e per conto dei seguenti soggetti:</w:t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tabs>
          <w:tab w:val="left" w:pos="740"/>
        </w:tabs>
        <w:spacing w:line="235" w:lineRule="auto"/>
        <w:ind w:left="720" w:right="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il titolare e direttore tecnico, se si tratta di impresa individuale;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tabs>
          <w:tab w:val="left" w:pos="740"/>
        </w:tabs>
        <w:ind w:left="720" w:right="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tutti i soci ed i direttori tecnici, per le società in nome collettivo;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8"/>
        </w:numPr>
        <w:tabs>
          <w:tab w:val="left" w:pos="740"/>
        </w:tabs>
        <w:ind w:left="720" w:right="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tutti i soci accomandatari e i direttori tecnici, per le società in accomandita semplice;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tabs>
          <w:tab w:val="left" w:pos="740"/>
        </w:tabs>
        <w:spacing w:line="225" w:lineRule="auto"/>
        <w:ind w:left="720" w:right="2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tutti i membri del consiglio di amministrazione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 consorzio;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8"/>
        </w:numPr>
        <w:tabs>
          <w:tab w:val="left" w:pos="740"/>
        </w:tabs>
        <w:spacing w:line="235" w:lineRule="auto"/>
        <w:ind w:left="720" w:right="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soggetti cessati dalla carica nell’anno antecedente la data di pubblicazione del bando di gara.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23" w:lineRule="auto"/>
        <w:ind w:left="40" w:right="20" w:firstLine="0"/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Nel caso in cui le predette dichiarazioni vengano rese anche in nome e per conto dei sopracitati soggetti, questi ultimi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NON </w:t>
      </w:r>
      <w:r w:rsidDel="00000000" w:rsidR="00000000" w:rsidRPr="00000000">
        <w:rPr>
          <w:u w:val="single"/>
          <w:vertAlign w:val="baseline"/>
          <w:rtl w:val="0"/>
        </w:rPr>
        <w:t xml:space="preserve">sono tenuti ad effettuare le medesime dichiarazioni personalmente; viceversa, i soggetti elencati nella nota (1)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u w:val="single"/>
          <w:vertAlign w:val="baseline"/>
          <w:rtl w:val="0"/>
        </w:rPr>
        <w:t xml:space="preserve">dovranno provvedere autonomamente a produrre le proprie autodichiarazioni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7">
      <w:pPr>
        <w:ind w:left="9580" w:righ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default"/>
      <w:footerReference r:id="rId21" w:type="first"/>
      <w:pgSz w:h="16838" w:w="11906" w:orient="portrait"/>
      <w:pgMar w:bottom="793" w:top="906" w:left="1100" w:right="1128" w:header="85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8">
      <w:pPr>
        <w:tabs>
          <w:tab w:val="left" w:pos="159"/>
        </w:tabs>
        <w:spacing w:line="228" w:lineRule="auto"/>
        <w:jc w:val="both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Ai sensi dell’art. 80, comma 4, del D. Lgs. n. 50/2016, “</w:t>
      </w:r>
      <w:r w:rsidDel="00000000" w:rsidR="00000000" w:rsidRPr="00000000">
        <w:rPr>
          <w:i w:val="1"/>
          <w:vertAlign w:val="baseline"/>
          <w:rtl w:val="0"/>
        </w:rPr>
        <w:t xml:space="preserve">costituiscono gravi violazioni quelle che comportano un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i w:val="1"/>
          <w:vertAlign w:val="baseline"/>
          <w:rtl w:val="0"/>
        </w:rPr>
        <w:t xml:space="preserve">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Del="00000000" w:rsidR="00000000" w:rsidRPr="00000000">
        <w:rPr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BA">
      <w:pPr>
        <w:tabs>
          <w:tab w:val="left" w:pos="159"/>
        </w:tabs>
        <w:spacing w:line="187" w:lineRule="auto"/>
        <w:ind w:left="0" w:right="20" w:firstLine="0"/>
        <w:jc w:val="both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Ai sensi dell’art. 80, comma 5, lett. c), tra i gravi illeciti professionali tali da rendere dubbia la sua integrità o affidabilità rientrano “</w:t>
      </w:r>
      <w:r w:rsidDel="00000000" w:rsidR="00000000" w:rsidRPr="00000000">
        <w:rPr>
          <w:i w:val="1"/>
          <w:vertAlign w:val="baseline"/>
          <w:rtl w:val="0"/>
        </w:rPr>
        <w:t xml:space="preserve"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622423" w:space="1" w:sz="24" w:val="single"/>
        <w:right w:color="000000" w:space="0" w:sz="0" w:val="none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ALLEGATO B</w:t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622423" w:space="1" w:sz="24" w:val="single"/>
        <w:right w:color="000000" w:space="0" w:sz="0" w:val="none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622423" w:space="1" w:sz="24" w:val="single"/>
        <w:right w:color="000000" w:space="0" w:sz="0" w:val="none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Dichiarazione sostitutiva di insussistenza cause di esclusione di cui all’art.80 e possesso dei requisiti di cui all’art.83 del D.lgs 50/2016 e s.m.i.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right" w:pos="96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decimal"/>
      <w:lvlText w:val="%1."/>
      <w:lvlJc w:val="left"/>
      <w:pPr>
        <w:ind w:left="369" w:hanging="369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 w:val="0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sz w:val="22"/>
        <w:szCs w:val="22"/>
        <w:vertAlign w:val="baseline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</w:abstractNum>
  <w:abstractNum w:abstractNumId="4">
    <w:lvl w:ilvl="0">
      <w:start w:val="5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6"/>
      <w:numFmt w:val="lowerLetter"/>
      <w:lvlText w:val="%2)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</w:abstractNum>
  <w:abstractNum w:abstractNumId="5">
    <w:lvl w:ilvl="0">
      <w:start w:val="2"/>
      <w:numFmt w:val="decimal"/>
      <w:lvlText w:val="%1."/>
      <w:lvlJc w:val="left"/>
      <w:pPr>
        <w:ind w:left="0" w:firstLine="0"/>
      </w:pPr>
      <w:rPr>
        <w:sz w:val="22"/>
        <w:szCs w:val="22"/>
        <w:vertAlign w:val="baseline"/>
      </w:rPr>
    </w:lvl>
    <w:lvl w:ilvl="1">
      <w:start w:val="1"/>
      <w:numFmt w:val="bullet"/>
      <w:lvlText w:val="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Noto Sans" w:cs="Noto Sans" w:eastAsia="Noto Sans" w:hAnsi="Noto Sans"/>
        <w:sz w:val="22"/>
        <w:szCs w:val="22"/>
        <w:vertAlign w:val="baseline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</w:abstractNum>
  <w:abstractNum w:abstractNumId="6">
    <w:lvl w:ilvl="0">
      <w:start w:val="12"/>
      <w:numFmt w:val="decimal"/>
      <w:lvlText w:val="%1."/>
      <w:lvlJc w:val="left"/>
      <w:pPr>
        <w:ind w:left="0" w:firstLine="0"/>
      </w:pPr>
      <w:rPr>
        <w:sz w:val="22"/>
        <w:szCs w:val="22"/>
        <w:vertAlign w:val="baseline"/>
      </w:rPr>
    </w:lvl>
    <w:lvl w:ilvl="1">
      <w:start w:val="1"/>
      <w:numFmt w:val="bullet"/>
      <w:lvlText w:val=""/>
      <w:lvlJc w:val="left"/>
      <w:pPr>
        <w:ind w:left="0" w:firstLine="0"/>
      </w:pPr>
      <w:rPr>
        <w:rFonts w:ascii="Liberation Serif" w:cs="Liberation Serif" w:eastAsia="Liberation Serif" w:hAnsi="Liberation Serif"/>
        <w:sz w:val="16"/>
        <w:szCs w:val="16"/>
        <w:vertAlign w:val="baseline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cs="Liberation Serif" w:eastAsia="Liberation Serif" w:hAnsi="Liberation Serif"/>
        <w:vertAlign w:val="baseline"/>
      </w:rPr>
    </w:lvl>
  </w:abstractNum>
  <w:abstractNum w:abstractNumId="7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b w:val="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Symbol" w:cs="Symbol" w:hAnsi="Symbol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Wingdings" w:cs="Wingdings" w:eastAsia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Wingdings" w:cs="Wingdings" w:eastAsia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Calibri" w:cs="Calibri" w:eastAsia="Calibri" w:hAnsi="Calibri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basedOn w:val="Car.predefinitoparagrafo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stonotaapièdipaginaCarattere">
    <w:name w:val="Testo nota a piè di pagina Carattere"/>
    <w:basedOn w:val="Car.predefinitoparagrafo"/>
    <w:next w:val="Testonotaa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basedOn w:val="Car.predefinitoparagrafo"/>
    <w:next w:val="Caratteri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ichiamoallanotaapièdipagina">
    <w:name w:val="Richiamo alla nota a piè di pagina"/>
    <w:next w:val="Richiamoalla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ichiamoallanotadichiusura">
    <w:name w:val="Richiamo alla nota di chiusura"/>
    <w:next w:val="Richiamoalla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tterinotadichiusura">
    <w:name w:val="Caratteri nota di chiusura"/>
    <w:next w:val="Caratterinotadichiusur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und" w:eastAsia="und" w:val="und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Notaapièdipagina">
    <w:name w:val="Nota a piè di pagina"/>
    <w:basedOn w:val="Normal"/>
    <w:next w:val="Notaapièdipagin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" w:cs="Arial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9.png"/><Relationship Id="rId10" Type="http://schemas.openxmlformats.org/officeDocument/2006/relationships/image" Target="media/image10.png"/><Relationship Id="rId21" Type="http://schemas.openxmlformats.org/officeDocument/2006/relationships/footer" Target="footer1.xml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7.png"/><Relationship Id="rId15" Type="http://schemas.openxmlformats.org/officeDocument/2006/relationships/image" Target="media/image1.png"/><Relationship Id="rId14" Type="http://schemas.openxmlformats.org/officeDocument/2006/relationships/image" Target="media/image6.png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numbering" Target="numbering.xml"/><Relationship Id="rId19" Type="http://schemas.openxmlformats.org/officeDocument/2006/relationships/header" Target="header1.xml"/><Relationship Id="rId6" Type="http://schemas.openxmlformats.org/officeDocument/2006/relationships/styles" Target="styles.xml"/><Relationship Id="rId18" Type="http://schemas.openxmlformats.org/officeDocument/2006/relationships/header" Target="header2.xml"/><Relationship Id="rId7" Type="http://schemas.openxmlformats.org/officeDocument/2006/relationships/customXml" Target="../customXML/item1.xml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TqqcDnZwHIlEeLEszL7NdobPiw==">AMUW2mXT7HhXm4fMfAEe3lKnVz1aLJYjkrHiy8XCnBS1snAngzTB0bMMLQhO4SzeNgFEoDsgpAiNFyLIQaeTdzyYpXdxdzrVop3NZ5qKPSkHaBX9d+vXL+m9hkSmP855eZIpenFKJSGF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2019-06-19T17:32:00Z</dcterms:created>
  <dc:creator>client3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