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right="-139" w:firstLine="0"/>
        <w:jc w:val="center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DICHIARAZIONE SOSTITUTIVA DELL’ATTO DI NOTORIETÀ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right="-139" w:firstLine="0"/>
        <w:jc w:val="center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art. 47 del D.P.R. 28.12.2000, n. 445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16" w:lineRule="auto"/>
        <w:ind w:left="120" w:right="0" w:firstLine="0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Il sottoscritto _________________________, nato a _________ _________il ______________, residente a _____________________in Via/Piazza_________________, nella sua qualità di _______________ e legale rappresentante dello Studio/Ditta______________________con sede legale in______________________, Via/Piazza___________________, C.F.________________________, P.IVA n._______________________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20" w:right="0" w:firstLine="0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e, limitatamente alle successive lettere a), b), c), d), e), f), g) in nome e per conto dei seguenti soggetti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20" w:right="0" w:firstLine="0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vedere Nota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20" w:right="0" w:firstLine="0"/>
        <w:rPr>
          <w:vertAlign w:val="baseline"/>
        </w:rPr>
      </w:pP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vertAlign w:val="baseline"/>
          <w:rtl w:val="0"/>
        </w:rPr>
        <w:t xml:space="preserve">indicare i soggetti per cui si rendono le dichiarazioni)</w:t>
      </w:r>
    </w:p>
    <w:tbl>
      <w:tblPr>
        <w:tblStyle w:val="Table1"/>
        <w:tblW w:w="9800.0" w:type="dxa"/>
        <w:jc w:val="left"/>
        <w:tblLayout w:type="fixed"/>
        <w:tblLook w:val="0000"/>
      </w:tblPr>
      <w:tblGrid>
        <w:gridCol w:w="1980"/>
        <w:gridCol w:w="1960"/>
        <w:gridCol w:w="1960"/>
        <w:gridCol w:w="2020"/>
        <w:gridCol w:w="1880"/>
        <w:tblGridChange w:id="0">
          <w:tblGrid>
            <w:gridCol w:w="1980"/>
            <w:gridCol w:w="1960"/>
            <w:gridCol w:w="1960"/>
            <w:gridCol w:w="2020"/>
            <w:gridCol w:w="188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ind w:left="120" w:right="0" w:firstLine="0"/>
              <w:rPr>
                <w:vertAlign w:val="baseline"/>
              </w:rPr>
            </w:pPr>
            <w:r w:rsidDel="00000000" w:rsidR="00000000" w:rsidRPr="00000000">
              <w:rPr>
                <w:i w:val="1"/>
                <w:sz w:val="18"/>
                <w:szCs w:val="18"/>
                <w:vertAlign w:val="baseline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ind w:left="80" w:right="0" w:firstLine="0"/>
              <w:rPr>
                <w:vertAlign w:val="baseline"/>
              </w:rPr>
            </w:pPr>
            <w:r w:rsidDel="00000000" w:rsidR="00000000" w:rsidRPr="00000000">
              <w:rPr>
                <w:i w:val="1"/>
                <w:sz w:val="18"/>
                <w:szCs w:val="18"/>
                <w:vertAlign w:val="baseline"/>
                <w:rtl w:val="0"/>
              </w:rPr>
              <w:t xml:space="preserve">DATA  E  LUOGO 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ind w:left="80" w:right="0" w:firstLine="0"/>
              <w:rPr>
                <w:vertAlign w:val="baseline"/>
              </w:rPr>
            </w:pPr>
            <w:r w:rsidDel="00000000" w:rsidR="00000000" w:rsidRPr="00000000">
              <w:rPr>
                <w:i w:val="1"/>
                <w:sz w:val="18"/>
                <w:szCs w:val="18"/>
                <w:vertAlign w:val="baseline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ind w:left="80" w:right="0" w:firstLine="0"/>
              <w:rPr>
                <w:vertAlign w:val="baseline"/>
              </w:rPr>
            </w:pPr>
            <w:r w:rsidDel="00000000" w:rsidR="00000000" w:rsidRPr="00000000">
              <w:rPr>
                <w:i w:val="1"/>
                <w:sz w:val="18"/>
                <w:szCs w:val="18"/>
                <w:vertAlign w:val="baseline"/>
                <w:rtl w:val="0"/>
              </w:rPr>
              <w:t xml:space="preserve">RESIDENZA  (INDIRIZZO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ind w:left="100" w:right="0" w:firstLine="0"/>
              <w:rPr>
                <w:vertAlign w:val="baseline"/>
              </w:rPr>
            </w:pPr>
            <w:r w:rsidDel="00000000" w:rsidR="00000000" w:rsidRPr="00000000">
              <w:rPr>
                <w:i w:val="1"/>
                <w:sz w:val="18"/>
                <w:szCs w:val="18"/>
                <w:vertAlign w:val="baseline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i w:val="1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ind w:left="80" w:right="0" w:firstLine="0"/>
              <w:rPr>
                <w:vertAlign w:val="baseline"/>
              </w:rPr>
            </w:pPr>
            <w:r w:rsidDel="00000000" w:rsidR="00000000" w:rsidRPr="00000000">
              <w:rPr>
                <w:i w:val="1"/>
                <w:sz w:val="18"/>
                <w:szCs w:val="18"/>
                <w:vertAlign w:val="baseline"/>
                <w:rtl w:val="0"/>
              </w:rPr>
              <w:t xml:space="preserve">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i w:val="1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ind w:left="80" w:right="0" w:firstLine="0"/>
              <w:rPr>
                <w:vertAlign w:val="baseline"/>
              </w:rPr>
            </w:pPr>
            <w:r w:rsidDel="00000000" w:rsidR="00000000" w:rsidRPr="00000000">
              <w:rPr>
                <w:i w:val="1"/>
                <w:sz w:val="18"/>
                <w:szCs w:val="18"/>
                <w:vertAlign w:val="baseline"/>
                <w:rtl w:val="0"/>
              </w:rPr>
              <w:t xml:space="preserve">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i w:val="1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16" w:lineRule="auto"/>
        <w:ind w:left="120" w:right="16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consapevole delle sanzioni penali previste dall’art. 76 del D.P.R. 28/12/2000 n. 445, nel caso di dichiarazioni mendaci, esibizione di atti falsi o contenenti dati non più corrispondenti al vero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right="4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u w:val="single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ind w:left="720" w:right="40" w:hanging="36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di impegnarsi a comunicare tempestivamente qualsiasi variazione dei dati sopra riportati;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ind w:left="720" w:right="40" w:hanging="36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di possedere i requisiti di idoneità professionale, capacità economica e finanziaria, capacità tecniche e professionali attinenti  all’oggetto dell’appalto, ai sensi dell’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art. 83 del D.lgs 50/2016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ind w:left="720" w:right="40" w:hanging="36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l’inesistenza delle cause di esclusione dalla partecipazione ad una procedura d’appalto o concessione elencate nell’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art. 80 del D.lgs  50/2016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ed in particolare: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tabs>
          <w:tab w:val="left" w:pos="480"/>
        </w:tabs>
        <w:spacing w:line="228" w:lineRule="auto"/>
        <w:ind w:left="480" w:right="160" w:hanging="367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2"/>
          <w:numId w:val="3"/>
        </w:numPr>
        <w:tabs>
          <w:tab w:val="left" w:pos="820"/>
        </w:tabs>
        <w:spacing w:line="232" w:lineRule="auto"/>
        <w:ind w:left="820" w:right="160" w:hanging="359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tabs>
          <w:tab w:val="left" w:pos="820"/>
        </w:tabs>
        <w:spacing w:line="223" w:lineRule="auto"/>
        <w:ind w:left="820" w:right="140" w:hanging="424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delitti, consumati o tentati, di cui agli articoli 317, 318, 319, 319-ter, 319-quater, 320, 321, 322, 322-ebis, 346-bis, 353, 353-bis, 354, 355 e 356 del codice penale nonché all’articolo 2635 del codice civile;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tabs>
          <w:tab w:val="left" w:pos="820"/>
        </w:tabs>
        <w:spacing w:line="216" w:lineRule="auto"/>
        <w:ind w:left="820" w:right="160" w:hanging="424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frode ai sensi dell’articolo 1 della convenzione relativa alla tutela degli interessi finanziari delle Comunità europee;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3A">
      <w:pPr>
        <w:numPr>
          <w:ilvl w:val="1"/>
          <w:numId w:val="3"/>
        </w:numPr>
        <w:tabs>
          <w:tab w:val="left" w:pos="820"/>
        </w:tabs>
        <w:ind w:left="820" w:right="160" w:hanging="424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delitti, consumati o tentati, commessi con finalità di terrorismo, anche internazionale, e di eversione dell’ordine costituzionale reati terroristici o reati connessi alle attività terroristiche;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tabs>
          <w:tab w:val="left" w:pos="707"/>
        </w:tabs>
        <w:spacing w:line="216" w:lineRule="auto"/>
        <w:ind w:left="707" w:right="20" w:hanging="424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delitti di cui agli articoli 648-bis, 648-ter e 648-ter.1 del codice penale, riciclaggio di proventi di attività criminose o finanziamento del terrorismo, quali definiti all’articolo 1 del decreto legislativo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0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22 giugno 2007, n. 109 e successive modificazioni;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4"/>
        </w:numPr>
        <w:tabs>
          <w:tab w:val="left" w:pos="707"/>
        </w:tabs>
        <w:spacing w:line="216" w:lineRule="auto"/>
        <w:ind w:left="707" w:right="20" w:hanging="359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sfruttamento del lavoro minorile e altre forme di tratta di esseri umani definite con il decreto legislativo 4 marzo 2014, n. 24;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1"/>
          <w:numId w:val="4"/>
        </w:numPr>
        <w:tabs>
          <w:tab w:val="left" w:pos="707"/>
        </w:tabs>
        <w:spacing w:line="216" w:lineRule="auto"/>
        <w:ind w:left="707" w:right="0" w:hanging="359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ogni altro delitto da cui derivi, quale pena accessoria, l’incapacità di contrattare con la pubblica amministrazione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16" w:lineRule="auto"/>
        <w:ind w:left="567" w:right="2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di aver riportato le seguenti condanne: (indicare il/i soggetto/i specificando ruolo, imputazione, condanna)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56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56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56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37" w:lineRule="auto"/>
        <w:ind w:left="56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tabs>
          <w:tab w:val="left" w:pos="367"/>
        </w:tabs>
        <w:spacing w:line="223" w:lineRule="auto"/>
        <w:ind w:left="367" w:right="0" w:hanging="367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non sussiste la causa di decadenza, di sospensione o di divieto previste dall’articolo 67 del decreto legislativo 6 settembre 2011, n. 159 o di un tentativo di infiltrazione mafiosa di cui all’articolo 84, comma 4, del medesimo decreto;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tabs>
          <w:tab w:val="left" w:pos="367"/>
        </w:tabs>
        <w:ind w:left="367" w:right="0" w:hanging="367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non ha commesso violazioni gravi, definitivamente accertate, rispetto agli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04" w:lineRule="auto"/>
        <w:ind w:left="367" w:right="2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obblighi relativi al pagamento delle imposte e tasse o dei contributi previdenziali, secondo la legislazione italiana o quella dello Stato in cui sono stabiliti</w:t>
      </w:r>
      <w:r w:rsidDel="00000000" w:rsidR="00000000" w:rsidRPr="00000000">
        <w:rPr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ed indica all’uopo i seguenti dati: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04" w:lineRule="auto"/>
        <w:ind w:left="367" w:right="20" w:firstLine="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707"/>
        </w:tabs>
        <w:spacing w:line="182" w:lineRule="auto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  Ufficio Locale dell’Agenzia delle Entrate competente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Noto Sans" w:cs="Noto Sans" w:eastAsia="Noto Sans" w:hAnsi="Noto Sans"/>
          <w:sz w:val="27"/>
          <w:szCs w:val="27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2"/>
          <w:numId w:val="5"/>
        </w:numPr>
        <w:tabs>
          <w:tab w:val="left" w:pos="987"/>
        </w:tabs>
        <w:spacing w:line="194" w:lineRule="auto"/>
        <w:ind w:left="987" w:right="0" w:hanging="275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Indirizzo: 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2"/>
          <w:numId w:val="5"/>
        </w:numPr>
        <w:tabs>
          <w:tab w:val="left" w:pos="987"/>
        </w:tabs>
        <w:ind w:left="987" w:right="0" w:hanging="275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numero di telefono: 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2"/>
          <w:numId w:val="5"/>
        </w:numPr>
        <w:tabs>
          <w:tab w:val="left" w:pos="987"/>
        </w:tabs>
        <w:ind w:left="987" w:right="0" w:hanging="275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pec, fax e/o e-mail: 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tabs>
          <w:tab w:val="left" w:pos="367"/>
        </w:tabs>
        <w:spacing w:line="223" w:lineRule="auto"/>
        <w:ind w:left="367" w:right="0" w:hanging="367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non ha commesso gravi infrazioni debitamente accertate alle norme in materia di salute e sicurezza sul lavoro nonché agli obblighi di cui all’articolo 30, comma 3 del D. lgs. 50/2016;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tabs>
          <w:tab w:val="left" w:pos="367"/>
        </w:tabs>
        <w:spacing w:line="223" w:lineRule="auto"/>
        <w:ind w:left="367" w:right="0" w:hanging="367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non si trova in stato di fallimento, di liquidazione coatta, di concordato preventivo, salvo il caso di concordato con continuità aziendale, o nei cui riguardi non è in corso un procedimento per la dichiarazione di una di tali situazioni, fermo restando quanto previsto dall’articolo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36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110 del D. lgs. 50/2016;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tabs>
          <w:tab w:val="left" w:pos="367"/>
        </w:tabs>
        <w:spacing w:line="204" w:lineRule="auto"/>
        <w:ind w:left="367" w:right="0" w:hanging="367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non si è reso colpevole di gravi illeciti professionali, tali da rendere dubbia la sua integrità o affidabilità</w:t>
      </w:r>
      <w:r w:rsidDel="00000000" w:rsidR="00000000" w:rsidRPr="00000000">
        <w:rPr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tabs>
          <w:tab w:val="left" w:pos="367"/>
        </w:tabs>
        <w:spacing w:line="204" w:lineRule="auto"/>
        <w:ind w:left="367" w:right="0" w:hanging="367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he la propria partecipazione non determina una situazione di conflitto di interesse ai sensi dell’articolo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pos="1230"/>
          <w:tab w:val="left" w:pos="2970"/>
          <w:tab w:val="right" w:pos="9680"/>
        </w:tabs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       42, comma 2 del D.lgs 50/2016, non diversamente risolvibile;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tabs>
          <w:tab w:val="left" w:pos="367"/>
        </w:tabs>
        <w:spacing w:line="220" w:lineRule="auto"/>
        <w:ind w:left="369" w:hanging="369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la propria partecipazione non determina una distorsione della concorrenza derivante dal proprio precedente coinvolgimento nella preparazione della procedura d’appalto di cui all’articolo 67 del D.lgs    50/2016 che non possa essere risolta con misure meno intrusive;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tabs>
          <w:tab w:val="left" w:pos="367"/>
        </w:tabs>
        <w:spacing w:line="228" w:lineRule="auto"/>
        <w:ind w:left="369" w:right="20" w:hanging="369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non è stato soggetto alla sanzione interdittiva di cui all’articolo 9, comma 2, lettera c) del decreto legislativo 8 giugno 2001, n. 231 o ad altra sanzione che comporta il divieto di contrarre con la pubblica amministrazione, compresi i provvedimenti  interdittivi di cui all’articolo 14 del decreto legislativo 9 aprile 2008, n. 81;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tabs>
          <w:tab w:val="left" w:pos="367"/>
        </w:tabs>
        <w:spacing w:line="225" w:lineRule="auto"/>
        <w:ind w:left="369" w:right="20" w:hanging="369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non è iscritto nel casellario informatico tenuto dall’Osservatorio dell’ANAC per aver presentato false dichiarazioni o falsa documentazione ai fini del rilascio dell’attestazione di qualificazione, per il periodo durante il quale perdura l’iscrizione;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tabs>
          <w:tab w:val="left" w:pos="367"/>
        </w:tabs>
        <w:spacing w:line="216" w:lineRule="auto"/>
        <w:ind w:left="369" w:right="20" w:hanging="369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non ha violato il divieto di intestazione fiduciaria di cui all’articolo 17 della legge 19 marzo 1990, n. 55;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tabs>
          <w:tab w:val="left" w:pos="367"/>
        </w:tabs>
        <w:ind w:left="369" w:hanging="369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che, ai sensi dell’art. 17 della legge 12.03.1999, n. 68: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40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Barrare la casella di interesse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200025" cy="20002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81230" y="3696180"/>
                          <a:ext cx="129540" cy="1676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19191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200025" cy="200025"/>
                <wp:effectExtent b="0" l="0" r="0" t="0"/>
                <wp:wrapNone/>
                <wp:docPr id="1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E">
      <w:pPr>
        <w:tabs>
          <w:tab w:val="left" w:pos="727"/>
        </w:tabs>
        <w:spacing w:line="218" w:lineRule="auto"/>
        <w:ind w:left="360" w:right="2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l’operatore economico è in regola con le norme che disciplinano il diritto al lavoro dei disabili poiché ha ottemperato alle disposizioni contenute nella Legge 68/99 o __________________(indicare la Legge Stato estero). Gli adempimenti sono stati eseguiti presso l’Ufficio _________________________di _________________, Via ________________________n. ___________ fax _____________ e-mail 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727"/>
        </w:tabs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l’operatore economico non è soggetto agli obblighi di assunzione obbligatoria previsti dalla Legge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200025" cy="20002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81230" y="3696180"/>
                          <a:ext cx="129540" cy="1676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19191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200025" cy="200025"/>
                <wp:effectExtent b="0" l="0" r="0" t="0"/>
                <wp:wrapNone/>
                <wp:docPr id="1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1">
      <w:pPr>
        <w:ind w:left="72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68/99 per i seguenti motivi: [indicare i motivi di esenzione]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72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177800</wp:posOffset>
                </wp:positionV>
                <wp:extent cx="200025" cy="20002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81230" y="3696180"/>
                          <a:ext cx="129540" cy="1676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19191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177800</wp:posOffset>
                </wp:positionV>
                <wp:extent cx="200025" cy="200025"/>
                <wp:effectExtent b="0" l="0" r="0" t="0"/>
                <wp:wrapNone/>
                <wp:docPr id="2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5">
      <w:pPr>
        <w:tabs>
          <w:tab w:val="left" w:pos="727"/>
        </w:tabs>
        <w:spacing w:line="216" w:lineRule="auto"/>
        <w:ind w:left="360" w:right="2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in _____________________(Stato estero) non esiste una normativa sull’assunzione obbligatoria dei disabili;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tabs>
          <w:tab w:val="left" w:pos="347"/>
        </w:tabs>
        <w:ind w:left="347" w:right="0" w:hanging="347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34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Barrare la casella di interesse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200025" cy="20002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81230" y="3696180"/>
                          <a:ext cx="129540" cy="1676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19191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200025" cy="200025"/>
                <wp:effectExtent b="0" l="0" r="0" t="0"/>
                <wp:wrapNone/>
                <wp:docPr id="1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A">
      <w:pPr>
        <w:tabs>
          <w:tab w:val="left" w:pos="707"/>
        </w:tabs>
        <w:spacing w:line="223" w:lineRule="auto"/>
        <w:ind w:left="356" w:right="2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non è stato vittima dei reati previsti e puniti dagli artt. 317 e 629 c.p., aggravati ai sensi dell’art. 7 del decreto legge 13 maggio 1991, n. 152, convertito, con modificazioni, dalla legge 12 luglio 1991 n. 203;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pos="727"/>
        </w:tabs>
        <w:ind w:left="360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è stato vittima dei suddetti reati ma hanno denunciato i fatti all’autorità giudiziaria;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200025" cy="20002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81230" y="3696180"/>
                          <a:ext cx="129540" cy="1676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19191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12700</wp:posOffset>
                </wp:positionV>
                <wp:extent cx="200025" cy="200025"/>
                <wp:effectExtent b="0" l="0" r="0" t="0"/>
                <wp:wrapNone/>
                <wp:docPr id="1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D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190500</wp:posOffset>
                </wp:positionV>
                <wp:extent cx="200025" cy="20002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81230" y="3696180"/>
                          <a:ext cx="129540" cy="1676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19191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190500</wp:posOffset>
                </wp:positionV>
                <wp:extent cx="200025" cy="200025"/>
                <wp:effectExtent b="0" l="0" r="0" t="0"/>
                <wp:wrapNone/>
                <wp:docPr id="1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E">
      <w:pPr>
        <w:tabs>
          <w:tab w:val="left" w:pos="727"/>
        </w:tabs>
        <w:spacing w:line="216" w:lineRule="auto"/>
        <w:ind w:left="360" w:right="2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è stato vittima dei reati previsti e puniti dagli artt. 317 e 629 c.p., aggravati ai sensi dell’art. 7 del decreto legge 13 maggio 1991, n. 152, convertito, con modificazioni, dalla legge 12 luglio 1991 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72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203, e non hanno denunciato i fatti all’autorità giudiziaria, in quanto ricorrono i casi previsti dall’art.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727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4, 1 comma, della legge 24 novembre 1981, n. 689.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tabs>
          <w:tab w:val="left" w:pos="347"/>
        </w:tabs>
        <w:ind w:left="347" w:right="0" w:hanging="347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Barrare la casella di interesse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707"/>
        </w:tabs>
        <w:spacing w:line="228" w:lineRule="auto"/>
        <w:ind w:left="426" w:right="2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non si trova in alcuna situazione di controllo di cui all'articolo 2359 del codice civile o in una qualsiasi relazione, anche di fatto con alcun soggetto, se la situazione di controllo o la relazione comporti che le offerte sono imputabili ad un unico centro decisionale, e di aver formulato autonomamente l'offerta;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002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81230" y="3696180"/>
                          <a:ext cx="129540" cy="1676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19191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0025"/>
                <wp:effectExtent b="0" l="0" r="0" t="0"/>
                <wp:wrapNone/>
                <wp:docPr id="1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4665" y="3780000"/>
                          <a:ext cx="61226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0" cy="12700"/>
                <wp:effectExtent b="0" l="0" r="0" t="0"/>
                <wp:wrapNone/>
                <wp:docPr id="1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840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ovvero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840"/>
        </w:tabs>
        <w:spacing w:line="230" w:lineRule="auto"/>
        <w:ind w:left="473" w:right="2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non è a conoscenza della partecipazione alla medesima procedura di soggetti che si trovano, rispetto ad essa, in una delle situazioni di controllo di cui all'articolo 2359 del codice civile, o in una qualsiasi relazione, anche di fatto con alcun soggetto, se la situazione di controllo o la relazione comporti che le offerte sono imputabili ad un unico centro decisionale e di aver formulato autonomamente l'offerta;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200025" cy="20002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81230" y="3696180"/>
                          <a:ext cx="129540" cy="1676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19191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200025" cy="200025"/>
                <wp:effectExtent b="0" l="0" r="0" t="0"/>
                <wp:wrapNone/>
                <wp:docPr id="1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B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840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ovvero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190500</wp:posOffset>
                </wp:positionV>
                <wp:extent cx="200025" cy="20002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81230" y="3696180"/>
                          <a:ext cx="129540" cy="1676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191919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190500</wp:posOffset>
                </wp:positionV>
                <wp:extent cx="200025" cy="200025"/>
                <wp:effectExtent b="0" l="0" r="0" t="0"/>
                <wp:wrapNone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E">
      <w:pPr>
        <w:tabs>
          <w:tab w:val="left" w:pos="820"/>
        </w:tabs>
        <w:spacing w:line="230" w:lineRule="auto"/>
        <w:ind w:left="469" w:right="2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l’operatore economico è a conoscenza della partecipazione alla medesima procedura di soggetti che si trovano, rispetto ad essa, in una delle situazioni di controllo di cui all'articolo 2359 o in una qualsiasi relazione, anche di fatto con alcun soggetto, se la situazione di controllo o la relazione comporti che le offerte sono imputabili ad un unico centro decisionale del codice civile, e di aver formulato autonomamente l'offerta.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Noto Sans" w:cs="Noto Sans" w:eastAsia="Noto Sans" w:hAnsi="Noto San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40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Dichiara inoltre: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760" w:hanging="36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la Ditta è iscritta/assicurata ai seguenti enti previdenziali: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760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INPS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Matricola azienda n.______________sede competente_________________cap__________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760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INAIL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Codice ditta ____________________sede competente_________________cap__________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ind w:left="760" w:hanging="36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esiste la correttezza degli adempimenti periodici relativi al versamento di contributi dovuti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760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INPS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versamento contributivo regolare alla data odierna;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760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INAIL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versamento contributivo regolare alla data odierna;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ind w:left="760" w:hanging="36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non sono in corso controversie amministrative/giudiziali per l’esistenza di debiti contributivi;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2"/>
        </w:numPr>
        <w:ind w:left="760" w:hanging="36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che non esistono in atto inadempienze e/o rettifiche notificate, non contestate e non pagate.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23" w:lineRule="auto"/>
        <w:ind w:left="40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Dichiara di essere informato, ai sensi e per gli effetti di cui al </w:t>
      </w: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GDPR 2016/679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che i dati personali raccolti saranno trattati, anche con strumenti informatici, esclusivamente nell’ambito del procedimento per il quale la presente dichiarazione viene 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40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_____________________________, lì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pos="2140"/>
        </w:tabs>
        <w:ind w:left="40" w:right="0" w:firstLine="0"/>
        <w:jc w:val="both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luogo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                                  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(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data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ind w:left="570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                      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606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                        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(F</w:t>
      </w:r>
      <w:r w:rsidDel="00000000" w:rsidR="00000000" w:rsidRPr="00000000">
        <w:rPr>
          <w:i w:val="1"/>
          <w:sz w:val="22"/>
          <w:szCs w:val="22"/>
          <w:vertAlign w:val="baseline"/>
          <w:rtl w:val="0"/>
        </w:rPr>
        <w:t xml:space="preserve">irma del dichiarante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456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4560" w:right="0" w:firstLine="0"/>
        <w:jc w:val="both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567" w:right="0" w:firstLine="0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Allega fotocopia del documento di riconoscimento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4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4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40" w:right="0" w:firstLine="0"/>
        <w:jc w:val="both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left="40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Nota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16" w:lineRule="auto"/>
        <w:ind w:left="40" w:right="2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Le dichiarazioni di cui alle lettere a), b), c), d), e), f), g) del presente facsimile devono essere rese anche in nome e per conto dei seguenti soggetti:</w:t>
      </w:r>
    </w:p>
    <w:p w:rsidR="00000000" w:rsidDel="00000000" w:rsidP="00000000" w:rsidRDefault="00000000" w:rsidRPr="00000000" w14:paraId="000000B0">
      <w:pPr>
        <w:numPr>
          <w:ilvl w:val="0"/>
          <w:numId w:val="8"/>
        </w:numPr>
        <w:tabs>
          <w:tab w:val="left" w:pos="740"/>
        </w:tabs>
        <w:spacing w:line="235" w:lineRule="auto"/>
        <w:ind w:left="720" w:right="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 titolare e direttore tecnico, se si tratta di impresa individuale;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8"/>
        </w:numPr>
        <w:tabs>
          <w:tab w:val="left" w:pos="740"/>
        </w:tabs>
        <w:ind w:left="720" w:right="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tutti i soci ed i direttori tecnici, per le società in nome collettivo;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8"/>
        </w:numPr>
        <w:tabs>
          <w:tab w:val="left" w:pos="740"/>
        </w:tabs>
        <w:ind w:left="720" w:right="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tutti i soci accomandatari e i direttori tecnici, per le società in accomandita semplice;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8"/>
        </w:numPr>
        <w:tabs>
          <w:tab w:val="left" w:pos="740"/>
        </w:tabs>
        <w:spacing w:line="225" w:lineRule="auto"/>
        <w:ind w:left="720" w:right="2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tutti i membri del consiglio di amministrazione cui sia stata conferita la legale rappresentanza, tutti i membri di direzione o di vigilanza, tutti i soggetti muniti di poteri di rappresentanza, di direzione o di controllo, il direttore tecnico, il socio unico persona fisica, ovvero il socio di maggioranza in caso di società con meno di quattro soci, se si tratta di altro tipo di società o consorzio;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8"/>
        </w:numPr>
        <w:tabs>
          <w:tab w:val="left" w:pos="740"/>
        </w:tabs>
        <w:spacing w:line="235" w:lineRule="auto"/>
        <w:ind w:left="720" w:right="0" w:hanging="360"/>
        <w:jc w:val="both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soggetti cessati dalla carica nell’anno antecedente la data di pubblicazione del bando di gara.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23" w:lineRule="auto"/>
        <w:ind w:left="40" w:right="20" w:firstLine="0"/>
        <w:jc w:val="both"/>
        <w:rPr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Nel caso in cui le predette dichiarazioni vengano rese anche in nome e per conto dei sopracitati soggetti, questi ultimi </w:t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NON </w:t>
      </w:r>
      <w:r w:rsidDel="00000000" w:rsidR="00000000" w:rsidRPr="00000000">
        <w:rPr>
          <w:u w:val="single"/>
          <w:vertAlign w:val="baseline"/>
          <w:rtl w:val="0"/>
        </w:rPr>
        <w:t xml:space="preserve">sono tenuti ad effettuare le medesime dichiarazioni personalmente; viceversa, i soggetti elencati nella nota (1)</w:t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u w:val="single"/>
          <w:vertAlign w:val="baseline"/>
          <w:rtl w:val="0"/>
        </w:rPr>
        <w:t xml:space="preserve">dovranno provvedere autonomamente a produrre le proprie autodichiarazioni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B7">
      <w:pPr>
        <w:ind w:left="9580" w:righ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8" w:type="default"/>
      <w:headerReference r:id="rId19" w:type="first"/>
      <w:footerReference r:id="rId20" w:type="default"/>
      <w:footerReference r:id="rId21" w:type="first"/>
      <w:pgSz w:h="16838" w:w="11906" w:orient="portrait"/>
      <w:pgMar w:bottom="793" w:top="906" w:left="1100" w:right="1128" w:header="850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1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B8">
      <w:pPr>
        <w:tabs>
          <w:tab w:val="left" w:pos="159"/>
        </w:tabs>
        <w:spacing w:line="228" w:lineRule="auto"/>
        <w:jc w:val="both"/>
        <w:rPr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vertAlign w:val="baseline"/>
          <w:rtl w:val="0"/>
        </w:rPr>
        <w:t xml:space="preserve"> Ai sensi dell’art. 80, comma 4, del D. Lgs. n. 50/2016, “</w:t>
      </w:r>
      <w:r w:rsidDel="00000000" w:rsidR="00000000" w:rsidRPr="00000000">
        <w:rPr>
          <w:i w:val="1"/>
          <w:vertAlign w:val="baseline"/>
          <w:rtl w:val="0"/>
        </w:rPr>
        <w:t xml:space="preserve">costituiscono gravi violazioni quelle che comportano un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i w:val="1"/>
          <w:vertAlign w:val="baseline"/>
          <w:rtl w:val="0"/>
        </w:rPr>
        <w:t xml:space="preserve">omesso pagamento di imposte e tasse superiore all’importo di cui all’articolo 48-bis, commi 1 e 2-bis del decreto del Presidente della Repubblica 29 settembre 1973, n. 602. 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all’articolo 8 del decreto del Ministero del lavoro e delle politiche sociali 30 gennaio 2015, pubblicato sulla Gazzetta Ufficiale n. 125 del 1° giugno 2015.Il presente comma non si applica quando l’operatore economico ha ottemperato ai suoi obblighi pagando o impegnandosi in modo vincolante a pagare le imposte o i contributi previdenziali dovuti, compresi eventuali interessi o multe, purché il pagamento o l’impegno siano stati formalizzati prima della scadenza del termine per la presentazione delle domande</w:t>
      </w:r>
      <w:r w:rsidDel="00000000" w:rsidR="00000000" w:rsidRPr="00000000">
        <w:rPr>
          <w:vertAlign w:val="baseline"/>
          <w:rtl w:val="0"/>
        </w:rPr>
        <w:t xml:space="preserve">”.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BA">
      <w:pPr>
        <w:tabs>
          <w:tab w:val="left" w:pos="159"/>
        </w:tabs>
        <w:spacing w:line="187" w:lineRule="auto"/>
        <w:ind w:left="0" w:right="20" w:firstLine="0"/>
        <w:jc w:val="both"/>
        <w:rPr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vertAlign w:val="baseline"/>
          <w:rtl w:val="0"/>
        </w:rPr>
        <w:t xml:space="preserve"> Ai sensi dell’art. 80, comma 5, lett. c), tra i gravi illeciti professionali tali da rendere dubbia la sua integrità o affidabilità rientrano “</w:t>
      </w:r>
      <w:r w:rsidDel="00000000" w:rsidR="00000000" w:rsidRPr="00000000">
        <w:rPr>
          <w:i w:val="1"/>
          <w:vertAlign w:val="baseline"/>
          <w:rtl w:val="0"/>
        </w:rPr>
        <w:t xml:space="preserve">Le significative carenze nell’esecuzione di un precedente contratto di appalto o di concessione che ne hanno causato la risoluzione anticipata, non contestata in giudizio, ovvero confermata all’esito di un giudizio, ovvero hanno dato luogo ad una condanna al risarcimento del danno o ad altre sanzioni; il tentativo di influenzare indebitamente il processo decisionale della stazione appaltante o di ottenere informazioni riservate ai fini di proprio vantaggio; il fornire, anche per negligenza, informazioni false o fuorvianti suscettibili di influenzare le decisioni sull’esclusione, la selezione o l’aggiudicazione ovvero l’omettere le informazioni dovute ai fini del corretto svolgimento della procedura di selezione”.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622423" w:space="1" w:sz="24" w:val="single"/>
        <w:right w:color="000000" w:space="0" w:sz="0" w:val="none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ALLEGATO B</w:t>
    </w:r>
  </w:p>
  <w:p w:rsidR="00000000" w:rsidDel="00000000" w:rsidP="00000000" w:rsidRDefault="00000000" w:rsidRPr="00000000" w14:paraId="000000BE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622423" w:space="1" w:sz="24" w:val="single"/>
        <w:right w:color="000000" w:space="0" w:sz="0" w:val="none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622423" w:space="1" w:sz="24" w:val="single"/>
        <w:right w:color="000000" w:space="0" w:sz="0" w:val="none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Dichiarazione sostitutiva di insussistenza cause di esclusione di cui all’art.80 e possesso dei requisiti di cui all’art.83 del D.lgs 50/2016 e s.m.i.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  <w:tab w:val="right" w:pos="9672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8"/>
      <w:numFmt w:val="decimal"/>
      <w:lvlText w:val="%1."/>
      <w:lvlJc w:val="left"/>
      <w:pPr>
        <w:ind w:left="369" w:hanging="369"/>
      </w:pPr>
      <w:rPr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b w:val="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sz w:val="22"/>
        <w:szCs w:val="22"/>
        <w:vertAlign w:val="baseline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</w:abstractNum>
  <w:abstractNum w:abstractNumId="4">
    <w:lvl w:ilvl="0">
      <w:start w:val="5"/>
      <w:numFmt w:val="lowerLetter"/>
      <w:lvlText w:val="%1)"/>
      <w:lvlJc w:val="left"/>
      <w:pPr>
        <w:ind w:left="0" w:firstLine="0"/>
      </w:pPr>
      <w:rPr>
        <w:vertAlign w:val="baseline"/>
      </w:rPr>
    </w:lvl>
    <w:lvl w:ilvl="1">
      <w:start w:val="6"/>
      <w:numFmt w:val="lowerLetter"/>
      <w:lvlText w:val="%2)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</w:abstractNum>
  <w:abstractNum w:abstractNumId="5">
    <w:lvl w:ilvl="0">
      <w:start w:val="2"/>
      <w:numFmt w:val="decimal"/>
      <w:lvlText w:val="%1."/>
      <w:lvlJc w:val="left"/>
      <w:pPr>
        <w:ind w:left="0" w:firstLine="0"/>
      </w:pPr>
      <w:rPr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●"/>
      <w:lvlJc w:val="left"/>
      <w:pPr>
        <w:ind w:left="0" w:firstLine="0"/>
      </w:pPr>
      <w:rPr>
        <w:rFonts w:ascii="Noto Sans" w:cs="Noto Sans" w:eastAsia="Noto Sans" w:hAnsi="Noto Sans"/>
        <w:sz w:val="22"/>
        <w:szCs w:val="22"/>
        <w:vertAlign w:val="baseline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</w:abstractNum>
  <w:abstractNum w:abstractNumId="6">
    <w:lvl w:ilvl="0">
      <w:start w:val="12"/>
      <w:numFmt w:val="decimal"/>
      <w:lvlText w:val="%1."/>
      <w:lvlJc w:val="left"/>
      <w:pPr>
        <w:ind w:left="0" w:firstLine="0"/>
      </w:pPr>
      <w:rPr>
        <w:sz w:val="22"/>
        <w:szCs w:val="22"/>
        <w:vertAlign w:val="baseline"/>
      </w:rPr>
    </w:lvl>
    <w:lvl w:ilvl="1">
      <w:start w:val="1"/>
      <w:numFmt w:val="bullet"/>
      <w:lvlText w:val=""/>
      <w:lvlJc w:val="left"/>
      <w:pPr>
        <w:ind w:left="0" w:firstLine="0"/>
      </w:pPr>
      <w:rPr>
        <w:rFonts w:ascii="Liberation Serif" w:cs="Liberation Serif" w:eastAsia="Liberation Serif" w:hAnsi="Liberation Serif"/>
        <w:sz w:val="16"/>
        <w:szCs w:val="16"/>
        <w:vertAlign w:val="baseline"/>
      </w:rPr>
    </w:lvl>
    <w:lvl w:ilvl="2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Liberation Serif" w:cs="Liberation Serif" w:eastAsia="Liberation Serif" w:hAnsi="Liberation Serif"/>
        <w:vertAlign w:val="baseline"/>
      </w:rPr>
    </w:lvl>
  </w:abstractNum>
  <w:abstractNum w:abstractNumId="7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b w:val="0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Symbol" w:cs="Symbol" w:hAnsi="Symbol" w:hint="default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Wingdings" w:cs="Wingdings" w:eastAsia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Wingdings" w:cs="Wingdings" w:eastAsia="Wingdings" w:hAnsi="Wingdings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3">
    <w:name w:val="WW8Num9z3"/>
    <w:next w:val="WW8Num9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4">
    <w:name w:val="WW8Num9z4"/>
    <w:next w:val="WW8Num9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5">
    <w:name w:val="WW8Num9z5"/>
    <w:next w:val="WW8Num9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6">
    <w:name w:val="WW8Num9z6"/>
    <w:next w:val="WW8Num9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7">
    <w:name w:val="WW8Num9z7"/>
    <w:next w:val="WW8Num9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8">
    <w:name w:val="WW8Num9z8"/>
    <w:next w:val="WW8Num9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cs="Symbol" w:eastAsia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4">
    <w:name w:val="WW8Num11z4"/>
    <w:next w:val="WW8Num1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5">
    <w:name w:val="WW8Num11z5"/>
    <w:next w:val="WW8Num1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6">
    <w:name w:val="WW8Num11z6"/>
    <w:next w:val="WW8Num1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7">
    <w:name w:val="WW8Num11z7"/>
    <w:next w:val="WW8Num1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8">
    <w:name w:val="WW8Num11z8"/>
    <w:next w:val="WW8Num1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Calibri" w:cs="Calibri" w:eastAsia="Calibri" w:hAnsi="Calibri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3">
    <w:name w:val="WW8Num13z3"/>
    <w:next w:val="WW8Num1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4">
    <w:name w:val="WW8Num13z4"/>
    <w:next w:val="WW8Num1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5">
    <w:name w:val="WW8Num13z5"/>
    <w:next w:val="WW8Num1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6">
    <w:name w:val="WW8Num13z6"/>
    <w:next w:val="WW8Num1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7">
    <w:name w:val="WW8Num13z7"/>
    <w:next w:val="WW8Num1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3z8">
    <w:name w:val="WW8Num13z8"/>
    <w:next w:val="WW8Num1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3">
    <w:name w:val="WW8Num14z3"/>
    <w:next w:val="WW8Num1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4">
    <w:name w:val="WW8Num14z4"/>
    <w:next w:val="WW8Num1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5">
    <w:name w:val="WW8Num14z5"/>
    <w:next w:val="WW8Num1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6">
    <w:name w:val="WW8Num14z6"/>
    <w:next w:val="WW8Num1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7">
    <w:name w:val="WW8Num14z7"/>
    <w:next w:val="WW8Num1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4z8">
    <w:name w:val="WW8Num14z8"/>
    <w:next w:val="WW8Num1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stofumettoCarattere">
    <w:name w:val="Testo fumetto Carattere"/>
    <w:basedOn w:val="Car.predefinitoparagrafo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estonotaapièdipaginaCarattere">
    <w:name w:val="Testo nota a piè di pagina Carattere"/>
    <w:basedOn w:val="Car.predefinitoparagrafo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inotaapièdipagina">
    <w:name w:val="Caratteri nota a piè di pagina"/>
    <w:basedOn w:val="Car.predefinitoparagrafo"/>
    <w:next w:val="Caratteri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ichiamoallanotaapièdipagina">
    <w:name w:val="Richiamo alla nota a piè di pagina"/>
    <w:next w:val="Richiamoalla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ichiamoallanotadichiusura">
    <w:name w:val="Richiamo alla nota di chiusura"/>
    <w:next w:val="Richiamoallanotadichiusur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tterinotadichiusura">
    <w:name w:val="Caratteri nota di chiusura"/>
    <w:next w:val="Caratterinotadichiusur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deltesto">
    <w:name w:val="Corpo del testo"/>
    <w:basedOn w:val="Normal"/>
    <w:next w:val="Corpodeltes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Lucida Sans" w:eastAsia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Lucida Sans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und" w:eastAsia="und" w:val="und"/>
    </w:rPr>
  </w:style>
  <w:style w:type="paragraph" w:styleId="Intestazioneepièdipagina">
    <w:name w:val="Intestazione e piè di pagina"/>
    <w:basedOn w:val="Normal"/>
    <w:next w:val="Intestazioneepièdipagina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"/>
    <w:next w:val="Intestazione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"/>
    <w:next w:val="Pièdipagina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"/>
    <w:next w:val="Testofumett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Notaapièdipagina">
    <w:name w:val="Nota a piè di pagina"/>
    <w:basedOn w:val="Normal"/>
    <w:next w:val="Notaapièdipagina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"/>
    <w:next w:val="Contenutotabel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" w:cs="Arial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image" Target="media/image9.png"/><Relationship Id="rId10" Type="http://schemas.openxmlformats.org/officeDocument/2006/relationships/image" Target="media/image10.png"/><Relationship Id="rId21" Type="http://schemas.openxmlformats.org/officeDocument/2006/relationships/footer" Target="footer1.xml"/><Relationship Id="rId13" Type="http://schemas.openxmlformats.org/officeDocument/2006/relationships/image" Target="media/image4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7.png"/><Relationship Id="rId15" Type="http://schemas.openxmlformats.org/officeDocument/2006/relationships/image" Target="media/image1.png"/><Relationship Id="rId14" Type="http://schemas.openxmlformats.org/officeDocument/2006/relationships/image" Target="media/image6.png"/><Relationship Id="rId17" Type="http://schemas.openxmlformats.org/officeDocument/2006/relationships/image" Target="media/image2.png"/><Relationship Id="rId16" Type="http://schemas.openxmlformats.org/officeDocument/2006/relationships/image" Target="media/image3.png"/><Relationship Id="rId5" Type="http://schemas.openxmlformats.org/officeDocument/2006/relationships/numbering" Target="numbering.xml"/><Relationship Id="rId19" Type="http://schemas.openxmlformats.org/officeDocument/2006/relationships/header" Target="header1.xml"/><Relationship Id="rId6" Type="http://schemas.openxmlformats.org/officeDocument/2006/relationships/styles" Target="styles.xml"/><Relationship Id="rId18" Type="http://schemas.openxmlformats.org/officeDocument/2006/relationships/header" Target="header2.xml"/><Relationship Id="rId7" Type="http://schemas.openxmlformats.org/officeDocument/2006/relationships/customXml" Target="../customXML/item1.xml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TqqcDnZwHIlEeLEszL7NdobPiw==">AMUW2mXT7HhXm4fMfAEe3lKnVz1aLJYjkrHiy8XCnBS1snAngzTB0bMMLQhO4SzeNgFEoDsgpAiNFyLIQaeTdzyYpXdxdzrVop3NZ5qKPSkHaBX9d+vXL+m9hkSmP855eZIpenFKJSGF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2019-06-19T17:32:00Z</dcterms:created>
  <dc:creator>client3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