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6E1" w14:textId="62BA9CF1" w:rsidR="00AC62ED" w:rsidRPr="00AC62ED" w:rsidRDefault="00EF51F3" w:rsidP="00AC62ED">
      <w:pPr>
        <w:ind w:left="1416"/>
        <w:rPr>
          <w:i/>
          <w:iCs/>
          <w:color w:val="1F3864" w:themeColor="accent1" w:themeShade="80"/>
          <w:sz w:val="12"/>
          <w:szCs w:val="12"/>
        </w:rPr>
      </w:pPr>
      <w:r>
        <w:rPr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9207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CRONACHE DALLA UIL SCUOLA / </w:t>
      </w:r>
      <w:proofErr w:type="gramStart"/>
      <w:r w:rsidR="00BA65FA">
        <w:rPr>
          <w:b/>
          <w:bCs/>
          <w:color w:val="1F3864" w:themeColor="accent1" w:themeShade="80"/>
          <w:sz w:val="32"/>
          <w:szCs w:val="32"/>
        </w:rPr>
        <w:t>1 aprile</w:t>
      </w:r>
      <w:proofErr w:type="gramEnd"/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 2020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br/>
      </w:r>
      <w:r w:rsidR="00763D2C" w:rsidRPr="00763D2C">
        <w:rPr>
          <w:b/>
          <w:bCs/>
          <w:i/>
          <w:iCs/>
          <w:color w:val="1F3864" w:themeColor="accent1" w:themeShade="80"/>
          <w:sz w:val="28"/>
          <w:szCs w:val="28"/>
        </w:rPr>
        <w:t>Dall’attualità all’utilità</w:t>
      </w:r>
      <w:r w:rsidR="00763D2C" w:rsidRPr="00763D2C">
        <w:rPr>
          <w:b/>
          <w:bCs/>
          <w:color w:val="1F3864" w:themeColor="accent1" w:themeShade="80"/>
          <w:sz w:val="28"/>
          <w:szCs w:val="28"/>
        </w:rPr>
        <w:br/>
      </w:r>
      <w:r w:rsidR="00763D2C" w:rsidRPr="00EF51F3">
        <w:rPr>
          <w:i/>
          <w:iCs/>
          <w:color w:val="1F3864" w:themeColor="accent1" w:themeShade="80"/>
        </w:rPr>
        <w:t xml:space="preserve">Consigli, appunti, indicazioni, raccomandazioni, modalità d’uso </w:t>
      </w:r>
      <w:r w:rsidR="00763D2C" w:rsidRPr="00EF51F3">
        <w:rPr>
          <w:i/>
          <w:iCs/>
          <w:color w:val="1F3864" w:themeColor="accent1" w:themeShade="80"/>
        </w:rPr>
        <w:br/>
        <w:t>per sostenere, informare, tutelare, essere vicini alle persone.</w:t>
      </w:r>
      <w:r w:rsidR="00763D2C" w:rsidRPr="00EF51F3">
        <w:rPr>
          <w:i/>
          <w:iCs/>
          <w:color w:val="1F3864" w:themeColor="accent1" w:themeShade="80"/>
        </w:rPr>
        <w:br/>
        <w:t>Una bussola sindacale e professionale per uscire indenni dalla crisi.</w:t>
      </w:r>
      <w:r w:rsidR="00AC62ED">
        <w:rPr>
          <w:i/>
          <w:iCs/>
          <w:color w:val="1F3864" w:themeColor="accent1" w:themeShade="80"/>
        </w:rPr>
        <w:br/>
      </w:r>
    </w:p>
    <w:p w14:paraId="587AAC88" w14:textId="57391B88" w:rsidR="006B7D50" w:rsidRPr="00DB6D26" w:rsidRDefault="00763D2C" w:rsidP="006B7D50">
      <w:pPr>
        <w:rPr>
          <w:color w:val="1F3864" w:themeColor="accent1" w:themeShade="80"/>
          <w:sz w:val="28"/>
          <w:szCs w:val="28"/>
        </w:rPr>
      </w:pPr>
      <w:r w:rsidRPr="006C2162">
        <w:rPr>
          <w:b/>
          <w:bCs/>
          <w:color w:val="1F3864" w:themeColor="accent1" w:themeShade="80"/>
          <w:sz w:val="32"/>
          <w:szCs w:val="32"/>
        </w:rPr>
        <w:t>Il punto della giornata</w:t>
      </w:r>
      <w:r w:rsidR="00967F54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bookmarkStart w:id="0" w:name="_Hlk35632219"/>
      <w:r w:rsidR="006B7D50">
        <w:rPr>
          <w:color w:val="1F3864" w:themeColor="accent1" w:themeShade="80"/>
          <w:sz w:val="28"/>
          <w:szCs w:val="28"/>
        </w:rPr>
        <w:br/>
        <w:t>di Pino Turi</w:t>
      </w:r>
      <w:r w:rsidR="00DB6D26">
        <w:rPr>
          <w:color w:val="1F3864" w:themeColor="accent1" w:themeShade="80"/>
          <w:sz w:val="28"/>
          <w:szCs w:val="28"/>
        </w:rPr>
        <w:br/>
      </w:r>
      <w:r w:rsidR="006B7D50">
        <w:t>La riunione di oggi con il ministro Azzolina non ha avuto le risposte che i sindacati</w:t>
      </w:r>
      <w:r w:rsidR="006B7D50">
        <w:t>,</w:t>
      </w:r>
      <w:r w:rsidR="006B7D50">
        <w:t xml:space="preserve"> unitariamente e singolarmente</w:t>
      </w:r>
      <w:r w:rsidR="006B7D50">
        <w:t>,</w:t>
      </w:r>
      <w:r w:rsidR="006B7D50">
        <w:t xml:space="preserve"> stanno da tempo chiedendo. Nessuna risposta sulla mobilità</w:t>
      </w:r>
      <w:r w:rsidR="006B7D50">
        <w:t>,</w:t>
      </w:r>
      <w:r w:rsidR="006B7D50">
        <w:t xml:space="preserve"> sia nel merito</w:t>
      </w:r>
      <w:r w:rsidR="006B7D50">
        <w:t>,</w:t>
      </w:r>
      <w:r w:rsidR="006B7D50">
        <w:t xml:space="preserve"> che nei tempi di attuazione. </w:t>
      </w:r>
      <w:r w:rsidR="006B7D50">
        <w:br/>
      </w:r>
      <w:r w:rsidR="006B7D50">
        <w:t xml:space="preserve">Abbiamo solo sentito </w:t>
      </w:r>
      <w:r w:rsidR="006B7D50">
        <w:rPr>
          <w:rFonts w:cstheme="minorHAnsi"/>
        </w:rPr>
        <w:t>«</w:t>
      </w:r>
      <w:r w:rsidR="006B7D50">
        <w:t>l’annuncio</w:t>
      </w:r>
      <w:r w:rsidR="006B7D50">
        <w:rPr>
          <w:rFonts w:cstheme="minorHAnsi"/>
        </w:rPr>
        <w:t>»</w:t>
      </w:r>
      <w:r w:rsidR="006B7D50">
        <w:t xml:space="preserve"> di tavoli tecnici</w:t>
      </w:r>
      <w:r w:rsidR="006B7D50">
        <w:t xml:space="preserve">. Una non-decisione </w:t>
      </w:r>
      <w:r w:rsidR="006B7D50">
        <w:t>che confer</w:t>
      </w:r>
      <w:r w:rsidR="006B7D50">
        <w:t>ma</w:t>
      </w:r>
      <w:r w:rsidR="006B7D50">
        <w:t xml:space="preserve"> il disorientamento e la confusione con cui si va avanti in una fase drammatica del </w:t>
      </w:r>
      <w:r w:rsidR="006B7D50">
        <w:t>P</w:t>
      </w:r>
      <w:r w:rsidR="006B7D50">
        <w:t>aese</w:t>
      </w:r>
      <w:r w:rsidR="006B7D50">
        <w:t>. Lo ripetiamo serve</w:t>
      </w:r>
      <w:r w:rsidR="006B7D50">
        <w:t xml:space="preserve"> attenzione e condivisione su scelte importanti che vanno discusse sia tra le forze politiche che sociali.</w:t>
      </w:r>
      <w:r w:rsidR="006B7D50">
        <w:br/>
        <w:t xml:space="preserve">Il sindacato </w:t>
      </w:r>
      <w:r w:rsidR="006B7D50">
        <w:t>i</w:t>
      </w:r>
      <w:r w:rsidR="006B7D50">
        <w:t>taliano, non è il consulente di questo o quel ministro</w:t>
      </w:r>
      <w:r w:rsidR="006B7D50">
        <w:t xml:space="preserve">. </w:t>
      </w:r>
      <w:proofErr w:type="gramStart"/>
      <w:r w:rsidR="006B7D50">
        <w:t>E’</w:t>
      </w:r>
      <w:proofErr w:type="gramEnd"/>
      <w:r w:rsidR="006B7D50">
        <w:t xml:space="preserve"> soggetto di confronto.</w:t>
      </w:r>
      <w:r w:rsidR="006B7D50">
        <w:t xml:space="preserve"> </w:t>
      </w:r>
      <w:r w:rsidR="00DB6D26">
        <w:t>Indipendente.</w:t>
      </w:r>
      <w:r w:rsidR="006B7D50">
        <w:br/>
        <w:t xml:space="preserve">Non si può delegare </w:t>
      </w:r>
      <w:r w:rsidR="006B7D50">
        <w:t>su tavoli tecnici</w:t>
      </w:r>
      <w:r w:rsidR="006B7D50">
        <w:t xml:space="preserve"> che si annunciano</w:t>
      </w:r>
      <w:r w:rsidR="00DB6D26">
        <w:t xml:space="preserve"> già dall’inizio ininfluenti</w:t>
      </w:r>
      <w:r w:rsidR="006B7D50">
        <w:t>. R</w:t>
      </w:r>
      <w:r w:rsidR="006B7D50">
        <w:t>appresenta milioni di lavoratori a cui sono chiesti gesti e comportamenti funzionali ad un progetto. Un soggetto sociale che vuole condividere scelte che non sono</w:t>
      </w:r>
      <w:r w:rsidR="00DB6D26">
        <w:t xml:space="preserve"> </w:t>
      </w:r>
      <w:r w:rsidR="006B7D50">
        <w:t xml:space="preserve">di natura tecnica ma </w:t>
      </w:r>
      <w:r w:rsidR="00DB6D26">
        <w:t xml:space="preserve">che hanno natura strategica se utili alla </w:t>
      </w:r>
      <w:r w:rsidR="006B7D50">
        <w:t>condivisione</w:t>
      </w:r>
      <w:r w:rsidR="00DB6D26">
        <w:t xml:space="preserve"> di un progetto complessivo</w:t>
      </w:r>
      <w:r w:rsidR="006B7D50">
        <w:t xml:space="preserve"> che, a quanto abbiamo capito oggi, non c’è alcuna voglia di condividere.</w:t>
      </w:r>
      <w:r w:rsidR="006B7D50">
        <w:br/>
        <w:t>Nella predisposizione del provvedimento legislativo che</w:t>
      </w:r>
      <w:r w:rsidR="00DB6D26">
        <w:t xml:space="preserve"> </w:t>
      </w:r>
      <w:r w:rsidR="006B7D50">
        <w:t xml:space="preserve">il ministro ha annunciato, rivendichiamo una sede politica in cui riportare tutte le questioni anche tecniche che determinano il futuro del sistema scolastico italiano. </w:t>
      </w:r>
      <w:r w:rsidR="006B7D50">
        <w:br/>
        <w:t>A parere della UIL Scuola</w:t>
      </w:r>
      <w:r w:rsidR="00DB6D26">
        <w:t xml:space="preserve"> in questo momento </w:t>
      </w:r>
      <w:r w:rsidR="006B7D50">
        <w:t>non si possono parcellizzare i problemi</w:t>
      </w:r>
      <w:r w:rsidR="00DB6D26">
        <w:t xml:space="preserve">: </w:t>
      </w:r>
      <w:r w:rsidR="006B7D50">
        <w:t>vanno visti in un unicum che abbia ben presente il modello di scuola democratica e partecipata che deve traghettare</w:t>
      </w:r>
      <w:r w:rsidR="00DB6D26">
        <w:t xml:space="preserve"> - in</w:t>
      </w:r>
      <w:r w:rsidR="006B7D50">
        <w:t xml:space="preserve"> questo momento di grande difficoltà</w:t>
      </w:r>
      <w:r w:rsidR="00DB6D26">
        <w:t xml:space="preserve"> -</w:t>
      </w:r>
      <w:r w:rsidR="006B7D50">
        <w:t xml:space="preserve"> l’intero paese</w:t>
      </w:r>
      <w:r w:rsidR="00DB6D26">
        <w:t>. Un processo si può realizzare solo</w:t>
      </w:r>
      <w:r w:rsidR="006B7D50">
        <w:t xml:space="preserve"> facendo leva sui lavoratori che ne rappresentano il motore portante e devono sentirsi parte di un progetto e non meri esecutori di scelte</w:t>
      </w:r>
      <w:r w:rsidR="00DB6D26">
        <w:t xml:space="preserve"> -</w:t>
      </w:r>
      <w:r w:rsidR="006B7D50">
        <w:t xml:space="preserve"> peraltro sbagliate</w:t>
      </w:r>
      <w:r w:rsidR="00DB6D26">
        <w:t xml:space="preserve"> -</w:t>
      </w:r>
      <w:r w:rsidR="006B7D50">
        <w:t xml:space="preserve"> frutto di un lavoro appaltato allo staff di un singolo ministro. La UIL Scuola non si ferma!</w:t>
      </w:r>
    </w:p>
    <w:bookmarkEnd w:id="0"/>
    <w:p w14:paraId="58B3E0FF" w14:textId="77777777" w:rsidR="00DB6D26" w:rsidRPr="00DB6D26" w:rsidRDefault="000A3562" w:rsidP="00DB6D26">
      <w:pPr>
        <w:spacing w:before="100" w:beforeAutospacing="1" w:after="100" w:afterAutospacing="1"/>
        <w:rPr>
          <w:rFonts w:ascii="Tahoma" w:hAnsi="Tahoma" w:cs="Tahoma"/>
          <w:i/>
          <w:iCs/>
        </w:rPr>
      </w:pPr>
      <w:r w:rsidRPr="000A3562">
        <w:rPr>
          <w:b/>
          <w:bCs/>
          <w:color w:val="1F3864" w:themeColor="accent1" w:themeShade="80"/>
          <w:sz w:val="18"/>
          <w:szCs w:val="18"/>
        </w:rPr>
        <w:br/>
      </w:r>
      <w:r w:rsidR="00EF51F3" w:rsidRPr="006C2162"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DA148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C2162">
        <w:rPr>
          <w:b/>
          <w:bCs/>
          <w:color w:val="1F3864" w:themeColor="accent1" w:themeShade="80"/>
          <w:sz w:val="32"/>
          <w:szCs w:val="32"/>
        </w:rPr>
        <w:t>Ci hanno chiesto</w:t>
      </w:r>
      <w:r w:rsidR="00D05E4A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93680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8276C3">
        <w:rPr>
          <w:b/>
          <w:bCs/>
          <w:color w:val="1F3864" w:themeColor="accent1" w:themeShade="80"/>
          <w:sz w:val="32"/>
          <w:szCs w:val="32"/>
        </w:rPr>
        <w:br/>
      </w:r>
      <w:r w:rsidR="00DB6D26" w:rsidRPr="00DB6D26">
        <w:rPr>
          <w:rStyle w:val="Enfasicorsivo"/>
          <w:rFonts w:ascii="Tahoma" w:hAnsi="Tahoma" w:cs="Tahoma"/>
          <w:b/>
          <w:bCs/>
          <w:i w:val="0"/>
          <w:iCs w:val="0"/>
        </w:rPr>
        <w:t>Rispetto allo scorso anno come cambia, per i docenti, la percentuale destinata ai trasferimenti interprovinciale e ai passaggi di cattedra e di ruolo</w:t>
      </w:r>
      <w:r w:rsidR="00DB6D26" w:rsidRPr="00DB6D26">
        <w:rPr>
          <w:rStyle w:val="Enfasigrassetto"/>
          <w:rFonts w:ascii="Tahoma" w:hAnsi="Tahoma" w:cs="Tahoma"/>
          <w:i/>
          <w:iCs/>
        </w:rPr>
        <w:t>?</w:t>
      </w:r>
    </w:p>
    <w:p w14:paraId="242518CB" w14:textId="533DF8B4" w:rsidR="00DB6D26" w:rsidRPr="00DB6D26" w:rsidRDefault="00DB6D26" w:rsidP="00DB6D26">
      <w:pPr>
        <w:spacing w:before="100" w:beforeAutospacing="1"/>
        <w:rPr>
          <w:rFonts w:ascii="Tahoma" w:hAnsi="Tahoma" w:cs="Tahoma"/>
        </w:rPr>
      </w:pPr>
      <w:r w:rsidRPr="00DB6D26">
        <w:rPr>
          <w:rStyle w:val="Enfasicorsivo"/>
          <w:rFonts w:ascii="Tahoma" w:hAnsi="Tahoma" w:cs="Tahoma"/>
          <w:b/>
          <w:bCs/>
        </w:rPr>
        <w:t>&gt;&gt;&gt;Immissioni in ruolo e trasferimenti interprovinciali</w:t>
      </w:r>
      <w:r w:rsidRPr="00DB6D26">
        <w:rPr>
          <w:rFonts w:ascii="Tahoma" w:hAnsi="Tahoma" w:cs="Tahoma"/>
        </w:rPr>
        <w:br/>
      </w:r>
      <w:r w:rsidRPr="00DB6D26">
        <w:rPr>
          <w:rFonts w:ascii="Tahoma" w:hAnsi="Tahoma" w:cs="Tahoma"/>
        </w:rPr>
        <w:t>Al termine dei trasferimenti provinciali il 50% dei posti disponibile andrà alle immissioni in ruolo, l’altro 50% ai trasferimenti interprovinciali e ai passaggi di cattedra e di ruolo (provinciali e interprovinciali). L’eventuale posto dispari sarà assegnato, per il 2020/21, alle immissioni in ruolo.</w:t>
      </w:r>
    </w:p>
    <w:p w14:paraId="48F9D471" w14:textId="14BA3A98" w:rsidR="00DB6D26" w:rsidRPr="00DB6D26" w:rsidRDefault="00DB6D26" w:rsidP="00DB6D26">
      <w:pPr>
        <w:spacing w:before="100" w:beforeAutospacing="1"/>
        <w:rPr>
          <w:rFonts w:ascii="Tahoma" w:hAnsi="Tahoma" w:cs="Tahoma"/>
        </w:rPr>
      </w:pPr>
      <w:r w:rsidRPr="00DB6D26">
        <w:rPr>
          <w:rStyle w:val="Enfasicorsivo"/>
          <w:rFonts w:ascii="Tahoma" w:hAnsi="Tahoma" w:cs="Tahoma"/>
          <w:b/>
          <w:bCs/>
        </w:rPr>
        <w:t xml:space="preserve">Percentuali per </w:t>
      </w:r>
      <w:proofErr w:type="spellStart"/>
      <w:r w:rsidRPr="00DB6D26">
        <w:rPr>
          <w:rStyle w:val="Enfasicorsivo"/>
          <w:rFonts w:ascii="Tahoma" w:hAnsi="Tahoma" w:cs="Tahoma"/>
          <w:b/>
          <w:bCs/>
        </w:rPr>
        <w:t>l’a.s.</w:t>
      </w:r>
      <w:proofErr w:type="spellEnd"/>
      <w:r w:rsidRPr="00DB6D26">
        <w:rPr>
          <w:rStyle w:val="Enfasicorsivo"/>
          <w:rFonts w:ascii="Tahoma" w:hAnsi="Tahoma" w:cs="Tahoma"/>
          <w:b/>
          <w:bCs/>
        </w:rPr>
        <w:t xml:space="preserve"> 2020/21</w:t>
      </w:r>
      <w:r w:rsidRPr="00DB6D26">
        <w:rPr>
          <w:rFonts w:ascii="Tahoma" w:hAnsi="Tahoma" w:cs="Tahoma"/>
        </w:rPr>
        <w:br/>
      </w:r>
      <w:r w:rsidRPr="00DB6D26">
        <w:rPr>
          <w:rFonts w:ascii="Tahoma" w:hAnsi="Tahoma" w:cs="Tahoma"/>
        </w:rPr>
        <w:t xml:space="preserve">I trasferimenti interprovinciali si effettueranno dopo quelli provinciali nel limite del 30% delle disponibilità per </w:t>
      </w:r>
      <w:proofErr w:type="spellStart"/>
      <w:r w:rsidRPr="00DB6D26">
        <w:rPr>
          <w:rFonts w:ascii="Tahoma" w:hAnsi="Tahoma" w:cs="Tahoma"/>
        </w:rPr>
        <w:t>l’a.s.</w:t>
      </w:r>
      <w:proofErr w:type="spellEnd"/>
      <w:r w:rsidRPr="00DB6D26">
        <w:rPr>
          <w:rFonts w:ascii="Tahoma" w:hAnsi="Tahoma" w:cs="Tahoma"/>
        </w:rPr>
        <w:t xml:space="preserve"> 2020/21 (20% per le classi di concorso dei licei musicali); I passaggi di cattedra e di ruolo (provinciali e interprovinciali) si realizzeranno nel limite del 20% delle disponibilità per </w:t>
      </w:r>
      <w:proofErr w:type="spellStart"/>
      <w:r w:rsidRPr="00DB6D26">
        <w:rPr>
          <w:rFonts w:ascii="Tahoma" w:hAnsi="Tahoma" w:cs="Tahoma"/>
        </w:rPr>
        <w:t>l’a.s.</w:t>
      </w:r>
      <w:proofErr w:type="spellEnd"/>
      <w:r w:rsidRPr="00DB6D26">
        <w:rPr>
          <w:rFonts w:ascii="Tahoma" w:hAnsi="Tahoma" w:cs="Tahoma"/>
        </w:rPr>
        <w:t xml:space="preserve"> 2020/21 (30% per le classi di concorso dei licei musicali). </w:t>
      </w:r>
      <w:r w:rsidR="0040123C">
        <w:rPr>
          <w:rFonts w:ascii="Tahoma" w:hAnsi="Tahoma" w:cs="Tahoma"/>
        </w:rPr>
        <w:br/>
      </w:r>
      <w:bookmarkStart w:id="1" w:name="_GoBack"/>
      <w:bookmarkEnd w:id="1"/>
    </w:p>
    <w:p w14:paraId="36BA404F" w14:textId="4A8CC04E" w:rsidR="008C2680" w:rsidRPr="00DB6D26" w:rsidRDefault="00DB6D26" w:rsidP="00431812">
      <w:pPr>
        <w:rPr>
          <w:rFonts w:ascii="Calibri" w:eastAsia="Calibri" w:hAnsi="Calibri" w:cs="Calibri"/>
        </w:rPr>
      </w:pPr>
      <w:r w:rsidRPr="000725C6">
        <w:rPr>
          <w:rFonts w:cstheme="minorHAnsi"/>
          <w:b/>
          <w:bCs/>
          <w:color w:val="323E4F" w:themeColor="text2" w:themeShade="BF"/>
          <w:sz w:val="32"/>
          <w:szCs w:val="32"/>
        </w:rPr>
        <w:t xml:space="preserve">Prestate attenzione a: </w:t>
      </w:r>
      <w:r w:rsidR="0040123C">
        <w:rPr>
          <w:rFonts w:cstheme="minorHAnsi"/>
          <w:b/>
          <w:bCs/>
          <w:color w:val="323E4F" w:themeColor="text2" w:themeShade="BF"/>
          <w:sz w:val="32"/>
          <w:szCs w:val="32"/>
        </w:rPr>
        <w:br/>
      </w:r>
      <w:r w:rsidR="0040123C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NOTA UNITARIA – INCONTRO AZZOLINA : </w:t>
      </w:r>
      <w:r w:rsidR="0040123C" w:rsidRPr="0040123C">
        <w:rPr>
          <w:rFonts w:cstheme="minorHAnsi"/>
          <w:b/>
          <w:bCs/>
          <w:color w:val="323E4F" w:themeColor="text2" w:themeShade="BF"/>
          <w:sz w:val="24"/>
          <w:szCs w:val="24"/>
        </w:rPr>
        <w:t>S</w:t>
      </w:r>
      <w:r w:rsidR="0040123C" w:rsidRPr="0040123C">
        <w:rPr>
          <w:rFonts w:cstheme="minorHAnsi"/>
          <w:b/>
          <w:bCs/>
          <w:color w:val="323E4F" w:themeColor="text2" w:themeShade="BF"/>
          <w:sz w:val="24"/>
          <w:szCs w:val="24"/>
        </w:rPr>
        <w:t>ULLE PROBLEMATICHE SCOLASTICHE NECESSARIO UN CONFRONTO VERO E A TUTTO CAMPO CON I SINDACATI</w:t>
      </w:r>
      <w:r w:rsidRPr="000725C6">
        <w:rPr>
          <w:rFonts w:cstheme="minorHAnsi"/>
          <w:b/>
          <w:bCs/>
          <w:color w:val="323E4F" w:themeColor="text2" w:themeShade="BF"/>
          <w:sz w:val="28"/>
          <w:szCs w:val="28"/>
        </w:rPr>
        <w:br/>
      </w:r>
      <w:hyperlink r:id="rId5" w:history="1">
        <w:r w:rsidR="0040123C" w:rsidRPr="0040123C">
          <w:rPr>
            <w:color w:val="0000FF"/>
            <w:u w:val="single"/>
          </w:rPr>
          <w:t>https://uilscuola.it/sulle-problematiche-scolastiche-necessario-un-confronto-vero-e-a-tutto-campo-con-i-sindacati/</w:t>
        </w:r>
      </w:hyperlink>
      <w:r w:rsidR="000A3562" w:rsidRPr="000A3562">
        <w:rPr>
          <w:rFonts w:cstheme="minorHAnsi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18F4" wp14:editId="45BE178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3800" cy="5080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091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8C2680" w:rsidRPr="00DB6D26" w:rsidSect="008C2680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C"/>
    <w:rsid w:val="00015323"/>
    <w:rsid w:val="000317B0"/>
    <w:rsid w:val="000725C6"/>
    <w:rsid w:val="000A3562"/>
    <w:rsid w:val="00107913"/>
    <w:rsid w:val="00173F7E"/>
    <w:rsid w:val="001B5AF4"/>
    <w:rsid w:val="001B7422"/>
    <w:rsid w:val="001D334A"/>
    <w:rsid w:val="0026784A"/>
    <w:rsid w:val="0027285E"/>
    <w:rsid w:val="00312C78"/>
    <w:rsid w:val="0040123C"/>
    <w:rsid w:val="00423DEC"/>
    <w:rsid w:val="00431812"/>
    <w:rsid w:val="00594061"/>
    <w:rsid w:val="005B7B7F"/>
    <w:rsid w:val="00637D7E"/>
    <w:rsid w:val="00683942"/>
    <w:rsid w:val="006B7D50"/>
    <w:rsid w:val="006C2162"/>
    <w:rsid w:val="00763D2C"/>
    <w:rsid w:val="00786FCB"/>
    <w:rsid w:val="00805174"/>
    <w:rsid w:val="00821DCB"/>
    <w:rsid w:val="008276C3"/>
    <w:rsid w:val="008475EA"/>
    <w:rsid w:val="008C2680"/>
    <w:rsid w:val="008C78E7"/>
    <w:rsid w:val="008E51BC"/>
    <w:rsid w:val="00936808"/>
    <w:rsid w:val="00947015"/>
    <w:rsid w:val="00967F54"/>
    <w:rsid w:val="00A237F8"/>
    <w:rsid w:val="00AC62ED"/>
    <w:rsid w:val="00BA65FA"/>
    <w:rsid w:val="00C72BE4"/>
    <w:rsid w:val="00D05E4A"/>
    <w:rsid w:val="00DB6D26"/>
    <w:rsid w:val="00DC7823"/>
    <w:rsid w:val="00DE12B9"/>
    <w:rsid w:val="00E20451"/>
    <w:rsid w:val="00E800E2"/>
    <w:rsid w:val="00EF51F3"/>
    <w:rsid w:val="00F24B8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lscuola.it/sulle-problematiche-scolastiche-necessario-un-confronto-vero-e-a-tutto-campo-con-i-sindac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2020-04-01T19:43:00Z</dcterms:created>
  <dcterms:modified xsi:type="dcterms:W3CDTF">2020-04-01T20:16:00Z</dcterms:modified>
</cp:coreProperties>
</file>