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39B49" w14:textId="6B55AE04" w:rsidR="008943DE" w:rsidRPr="00B26336" w:rsidRDefault="00EF06E1" w:rsidP="00EF06E1">
      <w:pPr>
        <w:tabs>
          <w:tab w:val="left" w:pos="6528"/>
        </w:tabs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EF06E1">
        <w:rPr>
          <w:rFonts w:asciiTheme="minorHAnsi" w:hAnsiTheme="minorHAnsi" w:cstheme="minorHAnsi"/>
          <w:i/>
          <w:sz w:val="22"/>
          <w:szCs w:val="22"/>
        </w:rPr>
        <w:t>All</w:t>
      </w:r>
      <w:r>
        <w:rPr>
          <w:rFonts w:asciiTheme="minorHAnsi" w:hAnsiTheme="minorHAnsi" w:cstheme="minorHAnsi"/>
          <w:i/>
          <w:sz w:val="22"/>
          <w:szCs w:val="22"/>
        </w:rPr>
        <w:t>egato</w:t>
      </w:r>
      <w:r w:rsidRPr="00EF06E1">
        <w:rPr>
          <w:rFonts w:asciiTheme="minorHAnsi" w:hAnsiTheme="minorHAnsi" w:cstheme="minorHAnsi"/>
          <w:i/>
          <w:sz w:val="22"/>
          <w:szCs w:val="22"/>
        </w:rPr>
        <w:t xml:space="preserve"> 2: Schema di dichiarazi</w:t>
      </w:r>
      <w:r>
        <w:rPr>
          <w:rFonts w:asciiTheme="minorHAnsi" w:hAnsiTheme="minorHAnsi" w:cstheme="minorHAnsi"/>
          <w:i/>
          <w:sz w:val="22"/>
          <w:szCs w:val="22"/>
        </w:rPr>
        <w:t>one sostitutiva del concorrente</w:t>
      </w:r>
      <w:r>
        <w:rPr>
          <w:rFonts w:asciiTheme="minorHAnsi" w:hAnsiTheme="minorHAnsi" w:cstheme="minorHAnsi"/>
          <w:i/>
          <w:sz w:val="22"/>
          <w:szCs w:val="22"/>
        </w:rPr>
        <w:tab/>
      </w: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0622EC82" w:rsidR="003153E7" w:rsidRPr="00375F48" w:rsidRDefault="00EF06E1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ALLEGATO 2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: 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="003153E7"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proofErr w:type="gram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ai</w:t>
            </w:r>
            <w:proofErr w:type="gram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sensi degli artt. 46 e 47 del </w:t>
            </w:r>
            <w:proofErr w:type="spell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d.P.R.</w:t>
            </w:r>
            <w:proofErr w:type="spell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n. 445 del 28 dicembre 2000)</w:t>
            </w:r>
          </w:p>
          <w:p w14:paraId="4B4E4A6A" w14:textId="4A85EB1B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PER L’AFFIDAMENTO DEL</w:t>
            </w:r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0" w:name="_Hlk114659311"/>
            <w:r w:rsidR="00D42B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FORNITURA </w:t>
            </w:r>
            <w:r w:rsidR="00D42B87" w:rsidRPr="00D42B87">
              <w:rPr>
                <w:rFonts w:asciiTheme="minorHAnsi" w:hAnsiTheme="minorHAnsi" w:cstheme="minorHAnsi"/>
                <w:b/>
                <w:sz w:val="22"/>
                <w:szCs w:val="22"/>
              </w:rPr>
              <w:t>DI ARREDI INNOVATIVI</w:t>
            </w:r>
            <w:bookmarkStart w:id="1" w:name="_Hlk113989825"/>
            <w:bookmarkStart w:id="2" w:name="_Hlk88492261"/>
            <w:r w:rsidR="007B7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nell’ambito della Missione 4 – Componente 1 – Investimento 3.2 del PNRR, finanziato dall’Unione europea – </w:t>
            </w:r>
            <w:proofErr w:type="spellStart"/>
            <w:r w:rsidR="007B710A"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Next</w:t>
            </w:r>
            <w:proofErr w:type="spellEnd"/>
            <w:r w:rsidR="007B710A" w:rsidRPr="007B710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Generation EU</w:t>
            </w:r>
          </w:p>
          <w:bookmarkEnd w:id="0"/>
          <w:bookmarkEnd w:id="1"/>
          <w:p w14:paraId="16AA6FF3" w14:textId="0374F81C" w:rsidR="00D42B87" w:rsidRPr="00D42B87" w:rsidRDefault="00D42B87" w:rsidP="00D42B87">
            <w:pPr>
              <w:pStyle w:val="Rientrocorpodeltes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2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CIG: </w:t>
            </w:r>
            <w:r w:rsidR="00561623">
              <w:t xml:space="preserve"> </w:t>
            </w:r>
            <w:r w:rsidR="00561623" w:rsidRPr="005616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99922655EE</w:t>
            </w:r>
            <w:bookmarkStart w:id="3" w:name="_GoBack"/>
            <w:bookmarkEnd w:id="3"/>
          </w:p>
          <w:p w14:paraId="357145A1" w14:textId="23956C69" w:rsidR="00D63E02" w:rsidRPr="00375F48" w:rsidRDefault="00D42B87" w:rsidP="00D42B87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  <w:r w:rsidRPr="00D42B8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C.U.P.: C54D22003710006</w:t>
            </w:r>
            <w:bookmarkEnd w:id="2"/>
          </w:p>
        </w:tc>
      </w:tr>
    </w:tbl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CEC9F5" w14:textId="77777777" w:rsidR="00472B59" w:rsidRDefault="00472B5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codice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partita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telefono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indirizzo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169ACDC" w14:textId="77777777" w:rsidR="00472B59" w:rsidRPr="00375F48" w:rsidRDefault="00472B59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da</w:t>
            </w:r>
            <w:proofErr w:type="gramEnd"/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53402AD9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  <w:lang w:eastAsia="en-US"/>
        </w:rPr>
        <w:t>in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472B59">
        <w:rPr>
          <w:rFonts w:asciiTheme="minorHAnsi" w:hAnsiTheme="minorHAnsi" w:cstheme="minorHAnsi"/>
          <w:sz w:val="22"/>
          <w:szCs w:val="22"/>
          <w:lang w:eastAsia="en-US"/>
        </w:rPr>
        <w:t xml:space="preserve">alle Condizioni di </w:t>
      </w:r>
      <w:r w:rsidR="004B1904" w:rsidRPr="00472B59">
        <w:rPr>
          <w:rFonts w:asciiTheme="minorHAnsi" w:hAnsiTheme="minorHAnsi" w:cstheme="minorHAnsi"/>
          <w:sz w:val="22"/>
          <w:szCs w:val="22"/>
          <w:lang w:eastAsia="en-US"/>
        </w:rPr>
        <w:t>Fornitura</w:t>
      </w:r>
      <w:r w:rsidR="006751F9" w:rsidRPr="00472B5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472B59">
        <w:rPr>
          <w:rFonts w:asciiTheme="minorHAnsi" w:hAnsiTheme="minorHAnsi" w:cstheme="minorHAnsi"/>
          <w:sz w:val="22"/>
          <w:szCs w:val="22"/>
          <w:lang w:eastAsia="en-US"/>
        </w:rPr>
        <w:t>per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</w:t>
      </w:r>
      <w:proofErr w:type="gramEnd"/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quadro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b/>
          <w:sz w:val="22"/>
          <w:szCs w:val="22"/>
        </w:rPr>
        <w:t>sempre</w:t>
      </w:r>
      <w:proofErr w:type="gram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B67AE7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Default="00B67AE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B67AE7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Default="00F640C7" w:rsidP="00472B59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472B59">
      <w:pPr>
        <w:pStyle w:val="Paragrafoelenco"/>
        <w:widowControl/>
        <w:numPr>
          <w:ilvl w:val="0"/>
          <w:numId w:val="47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>l</w:t>
      </w:r>
      <w:proofErr w:type="gramEnd"/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472B59">
      <w:pPr>
        <w:pStyle w:val="Paragrafoelenco"/>
        <w:widowControl/>
        <w:numPr>
          <w:ilvl w:val="0"/>
          <w:numId w:val="47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lastRenderedPageBreak/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075280AB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aver preso conoscenza del contenuto </w:t>
      </w:r>
      <w:r w:rsidR="00472B59" w:rsidRPr="00472B59">
        <w:rPr>
          <w:rFonts w:asciiTheme="minorHAnsi" w:hAnsiTheme="minorHAnsi" w:cstheme="minorHAnsi"/>
          <w:color w:val="000000"/>
          <w:sz w:val="22"/>
          <w:szCs w:val="22"/>
        </w:rPr>
        <w:t xml:space="preserve">delle Condizioni di </w:t>
      </w:r>
      <w:r w:rsidR="00E62E69" w:rsidRPr="00472B59">
        <w:rPr>
          <w:rFonts w:asciiTheme="minorHAnsi" w:hAnsiTheme="minorHAnsi" w:cstheme="minorHAnsi"/>
          <w:color w:val="000000"/>
          <w:sz w:val="22"/>
          <w:szCs w:val="22"/>
        </w:rPr>
        <w:t>Fornitura</w:t>
      </w:r>
      <w:r w:rsidR="00472B59" w:rsidRPr="00472B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472B59">
      <w:pPr>
        <w:pStyle w:val="Paragrafoelenco"/>
        <w:widowControl/>
        <w:numPr>
          <w:ilvl w:val="0"/>
          <w:numId w:val="35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472B59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line="240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ha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472B59">
      <w:pPr>
        <w:widowControl/>
        <w:numPr>
          <w:ilvl w:val="3"/>
          <w:numId w:val="8"/>
        </w:numPr>
        <w:tabs>
          <w:tab w:val="clear" w:pos="3240"/>
        </w:tabs>
        <w:adjustRightInd/>
        <w:spacing w:line="240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non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è oggetto di provvedimenti di sospensione o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6429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 xml:space="preserve">», di cui al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16 aprile 2013, n. 62;</w:t>
      </w:r>
    </w:p>
    <w:p w14:paraId="282D12DC" w14:textId="7A2DD8EE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assumerà a proprio carico tutti gli oneri previdenziali, assicurativi e retributivi previsti dalla legge;</w:t>
      </w:r>
    </w:p>
    <w:p w14:paraId="69BF683D" w14:textId="525E661D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>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>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Default="00593BE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color w:val="000000"/>
          <w:sz w:val="22"/>
          <w:szCs w:val="22"/>
        </w:rPr>
        <w:t>di</w:t>
      </w:r>
      <w:proofErr w:type="gram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BC8A6C6" w14:textId="77777777" w:rsidR="00472B59" w:rsidRPr="00375F48" w:rsidRDefault="00472B59" w:rsidP="00472B59">
      <w:pPr>
        <w:pStyle w:val="Paragrafoelenco"/>
        <w:widowControl/>
        <w:numPr>
          <w:ilvl w:val="0"/>
          <w:numId w:val="36"/>
        </w:numPr>
        <w:adjustRightInd/>
        <w:spacing w:line="240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449E651" w14:textId="43B8B401" w:rsidR="00387F1D" w:rsidRPr="00375F48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proofErr w:type="gramStart"/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>selezionare</w:t>
      </w:r>
      <w:proofErr w:type="gramEnd"/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proofErr w:type="gramEnd"/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selezionare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75F48">
        <w:rPr>
          <w:rFonts w:asciiTheme="minorHAnsi" w:hAnsiTheme="minorHAnsi" w:cstheme="minorHAnsi"/>
          <w:sz w:val="22"/>
          <w:szCs w:val="22"/>
        </w:rPr>
        <w:t xml:space="preserve"> al seguente soggetto designato mandatario _____________________________________________, è stato conferito mandato collettivo speciale con rappresentanza mediante il seguente atto ________________________________________;</w:t>
      </w:r>
    </w:p>
    <w:p w14:paraId="08B79F2F" w14:textId="77777777" w:rsidR="00D42B87" w:rsidRDefault="00D42B87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07629470" w14:textId="77777777" w:rsidR="00D42B87" w:rsidRDefault="00D42B87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1AED75C7" w14:textId="280D58D9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lastRenderedPageBreak/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, comma 2, </w:t>
      </w:r>
      <w:proofErr w:type="spellStart"/>
      <w:r w:rsidR="00D939A9" w:rsidRPr="00375F48">
        <w:rPr>
          <w:rFonts w:asciiTheme="minorHAnsi" w:hAnsiTheme="minorHAnsi" w:cstheme="minorHAnsi"/>
          <w:b/>
          <w:sz w:val="22"/>
          <w:szCs w:val="22"/>
        </w:rPr>
        <w:t>lett</w:t>
      </w:r>
      <w:proofErr w:type="spellEnd"/>
      <w:r w:rsidR="00D939A9" w:rsidRPr="00375F48">
        <w:rPr>
          <w:rFonts w:asciiTheme="minorHAnsi" w:hAnsiTheme="minorHAnsi" w:cstheme="minorHAnsi"/>
          <w:b/>
          <w:sz w:val="22"/>
          <w:szCs w:val="22"/>
        </w:rPr>
        <w:t>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proofErr w:type="gramStart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la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la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i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i/>
          <w:sz w:val="22"/>
          <w:szCs w:val="22"/>
        </w:rPr>
        <w:t>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all’atto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D3160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proofErr w:type="gramStart"/>
      <w:r w:rsidRPr="00375F48">
        <w:rPr>
          <w:rFonts w:asciiTheme="minorHAnsi" w:hAnsiTheme="minorHAnsi" w:cstheme="minorHAnsi"/>
          <w:i/>
          <w:sz w:val="22"/>
          <w:szCs w:val="22"/>
        </w:rPr>
        <w:t>le</w:t>
      </w:r>
      <w:proofErr w:type="gramEnd"/>
      <w:r w:rsidRPr="00375F48">
        <w:rPr>
          <w:rFonts w:asciiTheme="minorHAnsi" w:hAnsiTheme="minorHAnsi" w:cstheme="minorHAnsi"/>
          <w:i/>
          <w:sz w:val="22"/>
          <w:szCs w:val="22"/>
        </w:rPr>
        <w:t xml:space="preserve">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325B7" w14:textId="77777777" w:rsidR="00946C5F" w:rsidRDefault="00946C5F">
      <w:r>
        <w:separator/>
      </w:r>
    </w:p>
  </w:endnote>
  <w:endnote w:type="continuationSeparator" w:id="0">
    <w:p w14:paraId="0CBBBFF6" w14:textId="77777777" w:rsidR="00946C5F" w:rsidRDefault="009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C792" w14:textId="013B4264" w:rsidR="00B05C70" w:rsidRPr="00890845" w:rsidRDefault="00561623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B05C70" w:rsidRPr="00D7139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B6724" w14:textId="5E77FD77" w:rsidR="0096764F" w:rsidRPr="00375F48" w:rsidRDefault="00466B00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5CC4FB5" wp14:editId="2ADBB8A1">
          <wp:simplePos x="0" y="0"/>
          <wp:positionH relativeFrom="column">
            <wp:posOffset>-236220</wp:posOffset>
          </wp:positionH>
          <wp:positionV relativeFrom="paragraph">
            <wp:posOffset>-449580</wp:posOffset>
          </wp:positionV>
          <wp:extent cx="6975440" cy="1252800"/>
          <wp:effectExtent l="0" t="0" r="0" b="508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61623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13F32" w14:textId="77777777" w:rsidR="00946C5F" w:rsidRDefault="00946C5F">
      <w:r>
        <w:separator/>
      </w:r>
    </w:p>
  </w:footnote>
  <w:footnote w:type="continuationSeparator" w:id="0">
    <w:p w14:paraId="65933E92" w14:textId="77777777" w:rsidR="00946C5F" w:rsidRDefault="0094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12192" w14:textId="28895FA8" w:rsidR="00466B00" w:rsidRDefault="00EF06E1" w:rsidP="00466B00">
    <w:pPr>
      <w:pStyle w:val="Intestazion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278108" wp14:editId="1990574B">
          <wp:simplePos x="0" y="0"/>
          <wp:positionH relativeFrom="column">
            <wp:posOffset>-723900</wp:posOffset>
          </wp:positionH>
          <wp:positionV relativeFrom="page">
            <wp:posOffset>283845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3"/>
  </w:num>
  <w:num w:numId="3">
    <w:abstractNumId w:val="35"/>
  </w:num>
  <w:num w:numId="4">
    <w:abstractNumId w:val="15"/>
  </w:num>
  <w:num w:numId="5">
    <w:abstractNumId w:val="36"/>
  </w:num>
  <w:num w:numId="6">
    <w:abstractNumId w:val="50"/>
  </w:num>
  <w:num w:numId="7">
    <w:abstractNumId w:val="22"/>
  </w:num>
  <w:num w:numId="8">
    <w:abstractNumId w:val="37"/>
  </w:num>
  <w:num w:numId="9">
    <w:abstractNumId w:val="24"/>
  </w:num>
  <w:num w:numId="10">
    <w:abstractNumId w:val="21"/>
  </w:num>
  <w:num w:numId="11">
    <w:abstractNumId w:val="47"/>
  </w:num>
  <w:num w:numId="12">
    <w:abstractNumId w:val="6"/>
  </w:num>
  <w:num w:numId="13">
    <w:abstractNumId w:val="18"/>
  </w:num>
  <w:num w:numId="14">
    <w:abstractNumId w:val="7"/>
  </w:num>
  <w:num w:numId="15">
    <w:abstractNumId w:val="11"/>
  </w:num>
  <w:num w:numId="16">
    <w:abstractNumId w:val="52"/>
  </w:num>
  <w:num w:numId="17">
    <w:abstractNumId w:val="41"/>
  </w:num>
  <w:num w:numId="18">
    <w:abstractNumId w:val="25"/>
  </w:num>
  <w:num w:numId="19">
    <w:abstractNumId w:val="32"/>
  </w:num>
  <w:num w:numId="20">
    <w:abstractNumId w:val="4"/>
  </w:num>
  <w:num w:numId="21">
    <w:abstractNumId w:val="33"/>
  </w:num>
  <w:num w:numId="22">
    <w:abstractNumId w:val="3"/>
  </w:num>
  <w:num w:numId="23">
    <w:abstractNumId w:val="31"/>
  </w:num>
  <w:num w:numId="24">
    <w:abstractNumId w:val="46"/>
  </w:num>
  <w:num w:numId="25">
    <w:abstractNumId w:val="12"/>
  </w:num>
  <w:num w:numId="26">
    <w:abstractNumId w:val="2"/>
  </w:num>
  <w:num w:numId="27">
    <w:abstractNumId w:val="23"/>
  </w:num>
  <w:num w:numId="28">
    <w:abstractNumId w:val="16"/>
  </w:num>
  <w:num w:numId="29">
    <w:abstractNumId w:val="14"/>
  </w:num>
  <w:num w:numId="30">
    <w:abstractNumId w:val="27"/>
  </w:num>
  <w:num w:numId="31">
    <w:abstractNumId w:val="19"/>
  </w:num>
  <w:num w:numId="32">
    <w:abstractNumId w:val="42"/>
  </w:num>
  <w:num w:numId="33">
    <w:abstractNumId w:val="40"/>
  </w:num>
  <w:num w:numId="34">
    <w:abstractNumId w:val="43"/>
  </w:num>
  <w:num w:numId="35">
    <w:abstractNumId w:val="9"/>
  </w:num>
  <w:num w:numId="36">
    <w:abstractNumId w:val="28"/>
  </w:num>
  <w:num w:numId="37">
    <w:abstractNumId w:val="38"/>
  </w:num>
  <w:num w:numId="38">
    <w:abstractNumId w:val="13"/>
  </w:num>
  <w:num w:numId="39">
    <w:abstractNumId w:val="39"/>
  </w:num>
  <w:num w:numId="40">
    <w:abstractNumId w:val="26"/>
  </w:num>
  <w:num w:numId="41">
    <w:abstractNumId w:val="49"/>
  </w:num>
  <w:num w:numId="42">
    <w:abstractNumId w:val="48"/>
  </w:num>
  <w:num w:numId="43">
    <w:abstractNumId w:val="44"/>
  </w:num>
  <w:num w:numId="44">
    <w:abstractNumId w:val="30"/>
  </w:num>
  <w:num w:numId="45">
    <w:abstractNumId w:val="10"/>
  </w:num>
  <w:num w:numId="46">
    <w:abstractNumId w:val="20"/>
  </w:num>
  <w:num w:numId="47">
    <w:abstractNumId w:val="29"/>
  </w:num>
  <w:num w:numId="48">
    <w:abstractNumId w:val="17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1"/>
  </w:num>
  <w:num w:numId="52">
    <w:abstractNumId w:val="0"/>
  </w:num>
  <w:num w:numId="53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66B00"/>
    <w:rsid w:val="004700C7"/>
    <w:rsid w:val="00471E97"/>
    <w:rsid w:val="00472B59"/>
    <w:rsid w:val="004736EF"/>
    <w:rsid w:val="004761F5"/>
    <w:rsid w:val="00476CEB"/>
    <w:rsid w:val="00477E9E"/>
    <w:rsid w:val="00480462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1623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336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2B87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06E1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7507-0A32-4BB9-A9C1-CBB912E6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1756</Words>
  <Characters>10653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2023-08-29T10:03:00Z</dcterms:created>
  <dcterms:modified xsi:type="dcterms:W3CDTF">2023-09-08T12:33:00Z</dcterms:modified>
</cp:coreProperties>
</file>