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27" w:rsidRPr="00626727" w:rsidRDefault="00626727" w:rsidP="006267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  <w:sz w:val="20"/>
          <w:szCs w:val="20"/>
        </w:rPr>
      </w:pPr>
      <w:r w:rsidRPr="00626727">
        <w:rPr>
          <w:rFonts w:ascii="Garamond" w:hAnsi="Garamond"/>
          <w:color w:val="000000"/>
          <w:sz w:val="20"/>
          <w:szCs w:val="20"/>
        </w:rPr>
        <w:t xml:space="preserve">Allegato </w:t>
      </w:r>
      <w:r w:rsidRPr="00052816">
        <w:rPr>
          <w:rFonts w:ascii="Garamond" w:hAnsi="Garamond"/>
          <w:color w:val="000000"/>
          <w:sz w:val="20"/>
          <w:szCs w:val="20"/>
        </w:rPr>
        <w:t>B</w:t>
      </w:r>
    </w:p>
    <w:p w:rsidR="00626727" w:rsidRPr="00626727" w:rsidRDefault="00626727" w:rsidP="006267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hAnsi="Garamond"/>
          <w:color w:val="000000"/>
          <w:sz w:val="20"/>
          <w:szCs w:val="20"/>
        </w:rPr>
      </w:pPr>
      <w:r w:rsidRPr="00626727">
        <w:rPr>
          <w:rFonts w:ascii="Garamond" w:hAnsi="Garamond"/>
          <w:color w:val="000000"/>
          <w:sz w:val="20"/>
          <w:szCs w:val="20"/>
        </w:rPr>
        <w:t xml:space="preserve">All’Avviso di selezione </w:t>
      </w:r>
      <w:proofErr w:type="spellStart"/>
      <w:r w:rsidRPr="00626727">
        <w:rPr>
          <w:rFonts w:ascii="Garamond" w:hAnsi="Garamond"/>
          <w:color w:val="000000"/>
          <w:sz w:val="20"/>
          <w:szCs w:val="20"/>
        </w:rPr>
        <w:t>prot</w:t>
      </w:r>
      <w:proofErr w:type="spellEnd"/>
      <w:r w:rsidRPr="00626727">
        <w:rPr>
          <w:rFonts w:ascii="Garamond" w:hAnsi="Garamond"/>
          <w:color w:val="000000"/>
          <w:sz w:val="20"/>
          <w:szCs w:val="20"/>
        </w:rPr>
        <w:t>. n</w:t>
      </w:r>
      <w:r w:rsidRPr="00626727">
        <w:rPr>
          <w:rFonts w:ascii="Garamond" w:hAnsi="Garamond"/>
          <w:position w:val="0"/>
          <w:sz w:val="18"/>
          <w:szCs w:val="18"/>
          <w:lang w:eastAsia="it-IT"/>
        </w:rPr>
        <w:t xml:space="preserve"> </w:t>
      </w:r>
      <w:r w:rsidRPr="00626727">
        <w:rPr>
          <w:rFonts w:ascii="Garamond" w:hAnsi="Garamond"/>
          <w:color w:val="000000"/>
          <w:sz w:val="20"/>
          <w:szCs w:val="20"/>
        </w:rPr>
        <w:t>001135 del 25/02/2025</w:t>
      </w:r>
    </w:p>
    <w:p w:rsidR="008835C8" w:rsidRDefault="008835C8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</w:p>
    <w:p w:rsidR="00052816" w:rsidRDefault="00052816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</w:p>
    <w:p w:rsidR="006E24A4" w:rsidRPr="00DD42BA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>INFORMATIVA SUL CONFERIMENTO E</w:t>
      </w:r>
    </w:p>
    <w:p w:rsidR="006E24A4" w:rsidRPr="00DD42BA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>TRATTAMENTO DEI DATI E SULLA PUBBLICAZIONE DEGLI</w:t>
      </w:r>
    </w:p>
    <w:p w:rsidR="006E24A4" w:rsidRPr="00DD42BA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>ELEMENTI RITENUTI NON SENSIBILI NEI SITI ISTITUZIONALI E DI</w:t>
      </w:r>
    </w:p>
    <w:p w:rsidR="006E24A4" w:rsidRPr="00DD42BA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>CONSULTAZIONE APERTA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1. Oggetto del Trattamento</w:t>
      </w:r>
    </w:p>
    <w:p w:rsidR="001C48CA" w:rsidRPr="001C77F4" w:rsidRDefault="006E24A4" w:rsidP="001C48C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Ai sensi del Regolamento (UE) n. 679/2016 del Parlamento europeo e del Consiglio del 27 aprile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2016 recante la disciplina europea per la protezione delle persone fisiche con riguardo al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trattamento dei dati personali, nonché alla libera circolazione di tali dati (General Data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Protection</w:t>
      </w:r>
      <w:proofErr w:type="spellEnd"/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Regulation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– GDPR, in seguito "Regolamento"), e nel rispetto del decreto legislativo 30 giugno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2003, n. 196, così come novellato dal decreto legislativo 10 agosto 2018, n. 101, questo documento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descrive le modalità di trattamento dei dati personali dei soggetti coinvolti e/o interessati a vario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titolo alle iniziative finanziate nell’ambito del Piano Nazionale di Ripresa e Resilienza nonché 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tutte le attività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a queste connesse tra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cui l’interazione con i sistemi informativi di monitoraggio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(sistema informatico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ReGiS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, messo a disposizione dal Servizio centrale per il PNRR o di altri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sistemi informativi locali adottati per lo scambio elettronico dei dati) e la pubblicazione degli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elementi ritenuti non sensibili nei siti istituzionali e di consultazione aperta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http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s://www.mur.gov.it/it/privacy e </w:t>
      </w:r>
      <w:hyperlink r:id="rId8" w:history="1">
        <w:r w:rsidR="00DD42BA" w:rsidRPr="001C77F4">
          <w:rPr>
            <w:rStyle w:val="Collegamentoipertestuale"/>
            <w:rFonts w:ascii="Garamond" w:hAnsi="Garamond" w:cs="TimesNewRomanPSMT"/>
            <w:position w:val="0"/>
            <w:sz w:val="20"/>
            <w:szCs w:val="20"/>
            <w:lang w:eastAsia="it-IT"/>
          </w:rPr>
          <w:t>https://www.gea.mur.gov.it/Home/Privacy</w:t>
        </w:r>
      </w:hyperlink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.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Il trattamento dei dati personali avviene nel rispetto della dignità umana, dei diritti e delle libertà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fondamentali della persona.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2. Finalità del trattamento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 dati personali, trasmessi anche attraverso compilazione e inoltro di moduli, vengono trattati per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rispondere alle richieste degli interessati, istruire un procedimento amministrativo (in questo caso la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finalità viene perseguita durante tutta la fase di gestione della procedura di accesso alle agevolazioni,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incluse quella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endoprocedimentale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, procedimentale, istruttoria e di erogazione dell’agevolazione),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oltre che per assolvere eventuali obblighi di legge, contabili e fiscali.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3. 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Conferimento dati nell’ambito delle iniziative PNRR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In ottemperanza alle disposizioni previste nel Dispositivo per la Ripresa e la Resilienza (RRF) e dal</w:t>
      </w:r>
      <w:r w:rsidR="001C48C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decreto-legge 77 del 2021, convertito in legge 29 luglio 2021, n. 108: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- al </w:t>
      </w: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Soggetto attuatore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è demandata l’attuazione dei singoli progetti finanziati nell’ambito del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PNRR. Il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Soggetto Attuatore è responsabile dell’avvio, dell’attuazione e della funzionalità dei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singoli interventi, della regolarità delle procedure e delle spese rendicontate a valere sulle risorse del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PNRR, nonché del monitoraggio circa il conseguimento dei valori definiti per gli indicatori associati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ai propri progetti;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- </w:t>
      </w: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L’Amministrazione centrale titolare di interventi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, per il tramite delle funzioni preposte, deve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assicurare il monitoraggio e il presidio continuo dell’attuazione dei progetti, verificando da un lato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l’avanzamento dei dati finanziari, di realizzazione fisica e procedurale degli investimenti e delle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riforme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e dall’altro il livello di conseguimento di </w:t>
      </w:r>
      <w:proofErr w:type="spellStart"/>
      <w:r w:rsidRPr="001C77F4">
        <w:rPr>
          <w:rFonts w:ascii="Garamond" w:hAnsi="Garamond" w:cs="TimesNewRomanPSMT"/>
          <w:i/>
          <w:position w:val="0"/>
          <w:sz w:val="20"/>
          <w:szCs w:val="20"/>
          <w:lang w:eastAsia="it-IT"/>
        </w:rPr>
        <w:t>milestone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e </w:t>
      </w:r>
      <w:r w:rsidRPr="001C77F4">
        <w:rPr>
          <w:rFonts w:ascii="Garamond" w:hAnsi="Garamond" w:cs="TimesNewRomanPSMT"/>
          <w:i/>
          <w:position w:val="0"/>
          <w:sz w:val="20"/>
          <w:szCs w:val="20"/>
          <w:lang w:eastAsia="it-IT"/>
        </w:rPr>
        <w:t>target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, nonché di tutti gli ulteriori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elementi informativi necessari per la rendicontazione alla Commissione Europea, attraverso le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specifiche funzionalità del sistema informatico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ReGiS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, messo a disposizione dal Servizio centrale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per il PNRR o di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altri sistemi locali adottati per lo scambio elettronico dei dati coerenti con 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requisiti tecnici e gestionali descritti al comma 4 dell’art. 3 del DPCM Monitoraggio.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 tal fine, le stesse Amministrazioni centrali sono chiamate, per i progetti di propria competenza, ad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assicurare registrazione, raccolta, validazione e trasmissione dei dati di monitoraggio, ivi inclusi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quelli rilevati dai soggetti attuatori, delle agevolazioni finanziarie concesse nell’ambito del Piano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Nazionale di Ripresa e Resilienza e ad assicurare la registrazione, la conservazione, la tracciabilità 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l’affidabilità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dei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dati oggetto d’osservazione.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4. 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Tipologie di dati conferiti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Per realizzare gli adempimenti sopra descritti, i Soggetti Attuatori sono chiamati a svolgere una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costante e completa attività di rilevazione dei dati afferenti ai progetti finanziati, registrando le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informazioni ricomprese nel set minimo di dati di attuazione finanziaria, fisica e procedurale da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raccogliere,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conservare e trasmettere, individuato all’interno del Protocollo Unico di Colloquio v.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2.2 di novembre 2020 e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s.m.i.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di cui alla Circolare MEF n. 18 del 30 aprile 2014 revisionato sulla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base delle specificità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attuative del PNRR e comunicato tramite apposita nota circolare del Servizio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Centrale per il PNRR.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 titolo non esaustivo si indicano le principali informazioni oggetto di rilevazione: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dati anagrafici del progetto e classificazioni identificative, quali CUP, CIG, identificativo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del progetto, riferimenti alla Missione/Componente/Misura di riferimento,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identificativo del Soggetto attuatore, tipologia di progetto, localizzazione;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dati relativi ai soggetti coinvolti nell’attuazione, quali i Soggetti attuatori, realizzatori,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destinatari</w:t>
      </w:r>
      <w:r w:rsidR="00CA40FC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degli interventi, incluso codice fiscale e/o partita IVA;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dati finanziari, quali importo finanziato, eventuali altre fonti di finanziamento, quadro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economico e relative voci di spesa, impegni contabili, impegni giuridicamente vincolanti,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spese, pagamenti, recuperi, trasferimenti erogati;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dati procedurali, quali cronoprogramma e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step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relativi alle diverse procedure di gara (es: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affidamento lavori, acquisto beni e servizi) con indicazione della relativa tempistica e delle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pertinenti voci di spesa;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dati fisici, (previsti e realizzati) quali indicatori di output (progressi compiuti) e di 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out come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(effetti generati) attraverso la valorizzazione di un set di indicatori specifico e la raccolta 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catalogazione di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documentazione a supporto;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livello di conseguimento di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milestone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e target, per gli interventi che concorrono al loro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raggiungimento;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dati relativi all’aggiornamento trimestrale relativo all’analisi degli scostamenti per ciascuna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M&amp;T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prevista nel Piano;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elementi utili alla verifica del contributo all’obiettivo digitale e all’obiettivo sulla mitigazione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del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cambiamento climatico;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elementi utili alla verifica del soddisfacimento del requisito “Do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Not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Significant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Harm</w:t>
      </w:r>
      <w:proofErr w:type="spellEnd"/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(DNSH)”;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eastAsia="Arial Unicode MS" w:hAnsi="Garamond" w:cs="Arial Unicode MS"/>
          <w:position w:val="0"/>
          <w:sz w:val="20"/>
          <w:szCs w:val="20"/>
          <w:lang w:eastAsia="it-IT"/>
        </w:rPr>
        <w:t></w:t>
      </w:r>
      <w:r w:rsidRPr="001C77F4">
        <w:rPr>
          <w:rFonts w:ascii="Garamond" w:eastAsia="SymbolMT" w:hAnsi="Garamond" w:cs="Symbol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atti e documentazione probatoria dell’avanzamento attuativo di progetto.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5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. Soggetti del trattamento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Il Ministero dell’università e della ricerca è il </w:t>
      </w: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Titolare del trattamento</w:t>
      </w: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vertAlign w:val="superscript"/>
          <w:lang w:eastAsia="it-IT"/>
        </w:rPr>
        <w:t>1</w:t>
      </w: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dei dati personali forniti dai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soggetti coinvolti e/o interessati a vario titolo alle iniziative finanziate nell’ambito del Piano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Nazionale di Ripresa e Resilienza.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Il trattamento dei dati personali forniti dagli interessati potrà essere effettuato dal personale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appositamente od occasionalmente autorizzato e istruito sulla base di specifiche istruzioni in ordine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alle finalità e alle modalità del trattamento, da società, enti o soggetti nominati Responsabili del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trattamento ai sensi dell’articolo 28 del GDPR, che, per conto del Titolare del trattamento,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forniscono specifici servizi elaborativi o attività connesse, strumentali o di supporto adottando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tutte quelle misure tecniche 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organizzative adeguate a tutelare i diritti, le libertà e i legittimi interessi che sono riconosciuti per</w:t>
      </w:r>
      <w:r w:rsidR="00DD42BA"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 xml:space="preserve"> 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legge agli interessati nonché da soggetti incaricati di fornire soluzioni IT per la gestione delle attività</w:t>
      </w:r>
      <w:r w:rsidR="00DD42BA"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 xml:space="preserve"> 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di sviluppo e manutenzione del sito.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</w:pPr>
      <w:r w:rsidRPr="001C77F4">
        <w:rPr>
          <w:rFonts w:ascii="Garamond" w:hAnsi="Garamond"/>
          <w:position w:val="0"/>
          <w:sz w:val="20"/>
          <w:szCs w:val="20"/>
          <w:lang w:eastAsia="it-IT"/>
        </w:rPr>
        <w:t xml:space="preserve">1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Il Titolare del trattamento è </w:t>
      </w:r>
      <w:r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>“la persona fisica o giuridica, l’autorità pubblica, il servizio o altro or</w:t>
      </w:r>
      <w:r w:rsidR="00DD42BA"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 xml:space="preserve">ganismo che, </w:t>
      </w:r>
      <w:r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>singolarmente o</w:t>
      </w:r>
      <w:r w:rsidR="00DD42BA"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 xml:space="preserve">insieme ad altri, determina la finalità e i mezzi del trattamento dei dati personali”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(art. 4, par.1, n.7) Regolamento Generale sulla</w:t>
      </w:r>
      <w:r w:rsidR="00DD42BA"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Protezione dei Dati (GDPR).</w:t>
      </w:r>
      <w:r w:rsidR="00DD42BA" w:rsidRPr="001C77F4"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  <w:t xml:space="preserve"> 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ItalicMT"/>
          <w:i/>
          <w:iCs/>
          <w:position w:val="0"/>
          <w:sz w:val="20"/>
          <w:szCs w:val="20"/>
          <w:lang w:eastAsia="it-IT"/>
        </w:rPr>
      </w:pPr>
    </w:p>
    <w:p w:rsidR="00DD42BA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6. 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Responsabile della protezione dei dati</w:t>
      </w:r>
      <w:r w:rsidR="00DD42BA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 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Il Responsabile per la protezione dei dati personali del Ministero dell’Università e Ricerca è stato</w:t>
      </w:r>
      <w:r w:rsidR="00DD42BA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individuato 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nel Dirigente Scolastico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Dott. 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Giovanni Raimondi in qualità di legale rappresentante dell’Istituzione Scolastica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7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. Modalità del trattamento ed ambito di diffusione dei dati trasmessi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lastRenderedPageBreak/>
        <w:t>I dati personali sono trattati secondo i principi di liceità, correttezza, trasparenza e vengono acquisiti e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conservati con l’ausilio di sistemi e strumenti, anche elettronici, idonei a garantirne la sicurezza e la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riservatezza secondo le modalità previste dalle leggi e dai regolamenti vigenti.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I dati personali potranno essere condivisi, per finalità istituzionali, con soggetti nei confronti dei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quali la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comunicazione e/o l’eventuale diffusione sia prevista da disposizioni di legge, da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regolamenti o dalla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normativa comunitaria, ovvero da soggetti pubblici e organi di controllo per lo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svolgimento delle loro funzioni istituzionali quali Commissione Europea ed altri Enti e/o Autorità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con finalità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ispettive,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contabili-amministrative e di verifica (es. Istituti di credito, Unità di Audit,</w:t>
      </w:r>
      <w:r w:rsidR="00DD42BA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ANAC,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GdF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, OLAF, Corte dei Conti europea-ECA, Procura europea-EPPO ecc.).</w:t>
      </w:r>
    </w:p>
    <w:p w:rsidR="00DD42BA" w:rsidRPr="001C77F4" w:rsidRDefault="00DD42B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8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. Base giuridica del trattamento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La liceità del trattamento dei dati personali trova fondamento (i) ai sensi dell’articolo 6, comma 1,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lettera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b) del GDPR, nell’esecuzione di un contratto di cui l’interessato è parte o delle misure precontrattuali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adottate su richiesta dello stesso interessato (es. in fase di gestione di attività operative volte a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garantire l’eventuale erogazione di contributi o ai fini della gestione dei processi amministrativi,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contabili e fiscali);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(ii) ai sensi dell’articolo 6, comma 1, lettera c) del GDPR, nell’adempimento di un obbligo legale al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quale è soggetta l’Amministrazione (es. in fase di gestione dell’attività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istruttoria o in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fase di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comunicazione dei dati in adempimento ai generali obblighi di trasparenza); (iii) ai sensi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dell’articolo 6, comma 1, lettera e) del GDPR e dell’articolo 2-sexies del Codice privacy,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nell'esecuzione dei compiti di interesse pubblico o comunque connessi all'esercizio dei propri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pubblici poteri (es. nell’esecuzione delle attività di monitoraggio, analisi, ricerca e nell’esecuzione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di attività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di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comunicazione e promozione relativamente all’attività istituzionale).</w:t>
      </w:r>
    </w:p>
    <w:p w:rsidR="0020575E" w:rsidRPr="001C77F4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9</w:t>
      </w:r>
      <w:r w:rsidR="0020575E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 xml:space="preserve">. 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Base giuridica per la pubblicazione e diffusione web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Si illustrano di seguito alcuni obblighi di pubblicazione disciplinati dal D.lgs. 33/2013, tenendo conto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delle principali modifiche e integrazioni introdotte dal d.lgs. 97/2016.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Ai sensi dell’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art 26 del D.L. 14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marzo 2013, n. 33 (come modificato dall’art. 23 del D.lgs. n.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97/2016), le pubbliche amministrazioni sono obbligate alla pubblicazione degli atti di concessione di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sovvenzioni, contributi, sussidi e attribuzione di vantaggi economici a persone fisiche ed enti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pubblici e privati di importo superiore a mille euro nel corso dell'anno solare al medesimo attuatore.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Ai sensi del comma 3 del medesimo articolo, la pubblicazione costituisce condizione legale di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efficacia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dei provvedimenti e quindi deve avvenire tempestivamente e, comunque, prima della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liquidazione delle somme oggetto del provvedimento.</w:t>
      </w:r>
    </w:p>
    <w:p w:rsidR="0020575E" w:rsidRPr="001C77F4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10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. Pubblicazione di dati personali ulteriori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Le amministrazioni, in una logica di piena apertura verso l’esterno, possono pubblicare “dati ulteriori”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oltre a quelli espressamente indicati e richiesti da specifiche norme di legge.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La loro pubblicazione è prevista dalla l. 190/2012 (art. 1, c. 9, </w:t>
      </w:r>
      <w:proofErr w:type="spellStart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lett</w:t>
      </w:r>
      <w:proofErr w:type="spellEnd"/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. f) e dall’art. 7-bis, c. 3 del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medesimo d.lgs. 33/2013, laddove stabilisce che le pubbliche amministrazioni possono disporre la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pubblicazione nel proprio sito istituzionale di dati, informazioni e documenti, anche in assenza di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una 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specifica previsione di legge o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regolamento, procedendo alla indicazione in forma anonima dei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dati personali eventualmente presenti.</w:t>
      </w:r>
    </w:p>
    <w:p w:rsidR="0020575E" w:rsidRPr="001C77F4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11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. Tempo di conservazione dei dati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Al fine di garantire un trattamento corretto e trasparente, i dati sono conservati per un periodo di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tempo non superiore a quello necessario agli scopi per i quali essi sono stati raccolti o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successivamente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trattati conformemente a quanto previsto dagli obblighi di legge.</w:t>
      </w:r>
    </w:p>
    <w:p w:rsidR="0020575E" w:rsidRPr="001C77F4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</w:p>
    <w:p w:rsidR="006E24A4" w:rsidRPr="001C77F4" w:rsidRDefault="001C48CA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12</w:t>
      </w:r>
      <w:r w:rsidR="006E24A4" w:rsidRPr="001C77F4">
        <w:rPr>
          <w:rFonts w:ascii="Garamond" w:hAnsi="Garamond" w:cs="TimesNewRomanPS-BoldMT"/>
          <w:b/>
          <w:bCs/>
          <w:position w:val="0"/>
          <w:sz w:val="20"/>
          <w:szCs w:val="20"/>
          <w:lang w:eastAsia="it-IT"/>
        </w:rPr>
        <w:t>. Luogo del Trattamento</w:t>
      </w:r>
    </w:p>
    <w:p w:rsidR="006E24A4" w:rsidRPr="001C77F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0"/>
          <w:szCs w:val="20"/>
          <w:lang w:eastAsia="it-IT"/>
        </w:rPr>
      </w:pP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I dati vengono trattati ed archiviati presso la sede del 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CPIA 1 Grosseto in via Risorgimento n°26 Arcidosso (GR)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Specifiche misure di sicurezza sono osservate per prevenire la perdita dei</w:t>
      </w:r>
      <w:r w:rsidR="0020575E"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 xml:space="preserve"> </w:t>
      </w:r>
      <w:r w:rsidRPr="001C77F4">
        <w:rPr>
          <w:rFonts w:ascii="Garamond" w:hAnsi="Garamond" w:cs="TimesNewRomanPSMT"/>
          <w:position w:val="0"/>
          <w:sz w:val="20"/>
          <w:szCs w:val="20"/>
          <w:lang w:eastAsia="it-IT"/>
        </w:rPr>
        <w:t>dati, usi illeciti o non corretti e accessi non autorizzati.</w:t>
      </w:r>
    </w:p>
    <w:p w:rsidR="0020575E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20575E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6E24A4" w:rsidRPr="0020575E" w:rsidRDefault="006E24A4" w:rsidP="001C77F4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32"/>
          <w:szCs w:val="24"/>
          <w:lang w:eastAsia="it-IT"/>
        </w:rPr>
      </w:pPr>
      <w:r w:rsidRPr="0020575E">
        <w:rPr>
          <w:rFonts w:ascii="Garamond" w:hAnsi="Garamond" w:cs="TimesNewRomanPS-BoldMT"/>
          <w:b/>
          <w:bCs/>
          <w:position w:val="0"/>
          <w:sz w:val="32"/>
          <w:szCs w:val="24"/>
          <w:lang w:eastAsia="it-IT"/>
        </w:rPr>
        <w:t>Dichiarazione di presa visione dell’informativa sul conferimento e trattamento dei dati</w:t>
      </w:r>
      <w:r w:rsidR="0020575E" w:rsidRPr="0020575E">
        <w:rPr>
          <w:rFonts w:ascii="Garamond" w:hAnsi="Garamond" w:cs="TimesNewRomanPS-BoldMT"/>
          <w:b/>
          <w:bCs/>
          <w:position w:val="0"/>
          <w:sz w:val="32"/>
          <w:szCs w:val="24"/>
          <w:lang w:eastAsia="it-IT"/>
        </w:rPr>
        <w:t xml:space="preserve"> </w:t>
      </w:r>
      <w:r w:rsidRPr="0020575E">
        <w:rPr>
          <w:rFonts w:ascii="Garamond" w:hAnsi="Garamond" w:cs="TimesNewRomanPS-BoldMT"/>
          <w:b/>
          <w:bCs/>
          <w:position w:val="0"/>
          <w:sz w:val="32"/>
          <w:szCs w:val="24"/>
          <w:lang w:eastAsia="it-IT"/>
        </w:rPr>
        <w:t>personali</w:t>
      </w:r>
    </w:p>
    <w:p w:rsidR="0020575E" w:rsidRPr="00DD42BA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</w:p>
    <w:p w:rsidR="006E24A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 xml:space="preserve">Il sottoscritto </w:t>
      </w:r>
      <w:r w:rsidR="0020575E">
        <w:rPr>
          <w:rFonts w:ascii="Garamond" w:hAnsi="Garamond" w:cs="TimesNewRomanPSMT"/>
          <w:position w:val="0"/>
          <w:sz w:val="24"/>
          <w:szCs w:val="24"/>
          <w:lang w:eastAsia="it-IT"/>
        </w:rPr>
        <w:t>____________________________________________</w:t>
      </w: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>in qualità di</w:t>
      </w:r>
      <w:r w:rsidR="0020575E">
        <w:rPr>
          <w:rFonts w:ascii="Garamond" w:hAnsi="Garamond" w:cs="TimesNewRomanPSMT"/>
          <w:position w:val="0"/>
          <w:sz w:val="24"/>
          <w:szCs w:val="24"/>
          <w:lang w:eastAsia="it-IT"/>
        </w:rPr>
        <w:t>:</w:t>
      </w:r>
    </w:p>
    <w:p w:rsidR="0020575E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20575E" w:rsidRDefault="0020575E" w:rsidP="0020575E">
      <w:pPr>
        <w:pStyle w:val="Paragrafoelenco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>
        <w:rPr>
          <w:rFonts w:ascii="Garamond" w:hAnsi="Garamond" w:cs="TimesNewRomanPSMT"/>
          <w:position w:val="0"/>
          <w:sz w:val="24"/>
          <w:szCs w:val="24"/>
          <w:lang w:eastAsia="it-IT"/>
        </w:rPr>
        <w:t>Studente</w:t>
      </w:r>
    </w:p>
    <w:p w:rsidR="0020575E" w:rsidRDefault="0020575E" w:rsidP="0020575E">
      <w:pPr>
        <w:pStyle w:val="Paragrafoelenco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>
        <w:rPr>
          <w:rFonts w:ascii="Garamond" w:hAnsi="Garamond" w:cs="TimesNewRomanPSMT"/>
          <w:position w:val="0"/>
          <w:sz w:val="24"/>
          <w:szCs w:val="24"/>
          <w:lang w:eastAsia="it-IT"/>
        </w:rPr>
        <w:t>Docente</w:t>
      </w:r>
    </w:p>
    <w:p w:rsidR="0020575E" w:rsidRDefault="0020575E" w:rsidP="0020575E">
      <w:pPr>
        <w:pStyle w:val="Paragrafoelenco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76" w:lineRule="auto"/>
        <w:ind w:leftChars="0" w:firstLineChars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>
        <w:rPr>
          <w:rFonts w:ascii="Garamond" w:hAnsi="Garamond" w:cs="TimesNewRomanPSMT"/>
          <w:position w:val="0"/>
          <w:sz w:val="24"/>
          <w:szCs w:val="24"/>
          <w:lang w:eastAsia="it-IT"/>
        </w:rPr>
        <w:t>ATA</w:t>
      </w:r>
    </w:p>
    <w:p w:rsidR="0020575E" w:rsidRPr="0020575E" w:rsidRDefault="0020575E" w:rsidP="0020575E">
      <w:pPr>
        <w:pStyle w:val="Paragrafoelenco"/>
        <w:suppressAutoHyphens w:val="0"/>
        <w:autoSpaceDE w:val="0"/>
        <w:autoSpaceDN w:val="0"/>
        <w:adjustRightInd w:val="0"/>
        <w:spacing w:after="0" w:line="276" w:lineRule="auto"/>
        <w:ind w:leftChars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6E24A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>avendo acquisito le informazioni fornite dal</w:t>
      </w:r>
      <w:r w:rsidR="0020575E">
        <w:rPr>
          <w:rFonts w:ascii="Garamond" w:hAnsi="Garamond" w:cs="TimesNewRomanPSMT"/>
          <w:position w:val="0"/>
          <w:sz w:val="24"/>
          <w:szCs w:val="24"/>
          <w:lang w:eastAsia="it-IT"/>
        </w:rPr>
        <w:t xml:space="preserve"> </w:t>
      </w: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>titolare ai sensi dell’art. 13 del D.lgs. 196/2003 e degli Artt. 13-14 del GDPR attraverso la presa</w:t>
      </w:r>
      <w:r w:rsidR="0020575E">
        <w:rPr>
          <w:rFonts w:ascii="Garamond" w:hAnsi="Garamond" w:cs="TimesNewRomanPSMT"/>
          <w:position w:val="0"/>
          <w:sz w:val="24"/>
          <w:szCs w:val="24"/>
          <w:lang w:eastAsia="it-IT"/>
        </w:rPr>
        <w:t xml:space="preserve"> </w:t>
      </w: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>visione del documento “</w:t>
      </w:r>
      <w:r w:rsidRPr="00DD42BA">
        <w:rPr>
          <w:rFonts w:ascii="Garamond" w:hAnsi="Garamond" w:cs="TimesNewRomanPS-ItalicMT"/>
          <w:i/>
          <w:iCs/>
          <w:position w:val="0"/>
          <w:sz w:val="24"/>
          <w:szCs w:val="24"/>
          <w:lang w:eastAsia="it-IT"/>
        </w:rPr>
        <w:t>Informativa sul conferimento e trattamento dei dati personali e sulla</w:t>
      </w:r>
      <w:r w:rsidR="0020575E">
        <w:rPr>
          <w:rFonts w:ascii="Garamond" w:hAnsi="Garamond" w:cs="TimesNewRomanPSMT"/>
          <w:position w:val="0"/>
          <w:sz w:val="24"/>
          <w:szCs w:val="24"/>
          <w:lang w:eastAsia="it-IT"/>
        </w:rPr>
        <w:t xml:space="preserve"> </w:t>
      </w:r>
      <w:r w:rsidRPr="00DD42BA">
        <w:rPr>
          <w:rFonts w:ascii="Garamond" w:hAnsi="Garamond" w:cs="TimesNewRomanPS-ItalicMT"/>
          <w:i/>
          <w:iCs/>
          <w:position w:val="0"/>
          <w:sz w:val="24"/>
          <w:szCs w:val="24"/>
          <w:lang w:eastAsia="it-IT"/>
        </w:rPr>
        <w:t>pubblicazione degli elementi ritenuti non sensibili nei siti istituzionali e di consultazione aperta</w:t>
      </w: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>”</w:t>
      </w:r>
    </w:p>
    <w:p w:rsidR="0020575E" w:rsidRPr="00DD42BA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052816" w:rsidRDefault="00052816" w:rsidP="0020575E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</w:p>
    <w:p w:rsidR="006E24A4" w:rsidRDefault="006E24A4" w:rsidP="0020575E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>DICHIARA</w:t>
      </w:r>
    </w:p>
    <w:p w:rsidR="0020575E" w:rsidRDefault="0020575E" w:rsidP="0020575E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</w:p>
    <w:p w:rsidR="006E24A4" w:rsidRDefault="006E24A4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>di esser stato adeguatamente informato riguardo al trattamento dei propri dati personali per i fini</w:t>
      </w:r>
      <w:r w:rsidR="0020575E">
        <w:rPr>
          <w:rFonts w:ascii="Garamond" w:hAnsi="Garamond" w:cs="TimesNewRomanPSMT"/>
          <w:position w:val="0"/>
          <w:sz w:val="24"/>
          <w:szCs w:val="24"/>
          <w:lang w:eastAsia="it-IT"/>
        </w:rPr>
        <w:t xml:space="preserve"> </w:t>
      </w:r>
      <w:r w:rsidRPr="00DD42BA">
        <w:rPr>
          <w:rFonts w:ascii="Garamond" w:hAnsi="Garamond" w:cs="TimesNewRomanPSMT"/>
          <w:position w:val="0"/>
          <w:sz w:val="24"/>
          <w:szCs w:val="24"/>
          <w:lang w:eastAsia="it-IT"/>
        </w:rPr>
        <w:t>indicati nella stessa.</w:t>
      </w:r>
    </w:p>
    <w:p w:rsidR="005E4E77" w:rsidRDefault="005E4E77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5E4E77" w:rsidRDefault="005E4E77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052816" w:rsidRDefault="00052816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CA40FC" w:rsidRDefault="00CA40FC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>
        <w:rPr>
          <w:rFonts w:ascii="Garamond" w:hAnsi="Garamond" w:cs="TimesNewRomanPSMT"/>
          <w:position w:val="0"/>
          <w:sz w:val="24"/>
          <w:szCs w:val="24"/>
          <w:lang w:eastAsia="it-IT"/>
        </w:rPr>
        <w:t xml:space="preserve">Luogo e </w:t>
      </w:r>
      <w:r w:rsidR="005E4E77">
        <w:rPr>
          <w:rFonts w:ascii="Garamond" w:hAnsi="Garamond" w:cs="TimesNewRomanPSMT"/>
          <w:position w:val="0"/>
          <w:sz w:val="24"/>
          <w:szCs w:val="24"/>
          <w:lang w:eastAsia="it-IT"/>
        </w:rPr>
        <w:t>Data</w:t>
      </w:r>
    </w:p>
    <w:p w:rsidR="00052816" w:rsidRDefault="00052816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bookmarkStart w:id="0" w:name="_GoBack"/>
      <w:bookmarkEnd w:id="0"/>
    </w:p>
    <w:p w:rsidR="0020575E" w:rsidRDefault="005E4E77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  <w:r>
        <w:rPr>
          <w:rFonts w:ascii="Garamond" w:hAnsi="Garamond" w:cs="TimesNewRomanPSMT"/>
          <w:position w:val="0"/>
          <w:sz w:val="24"/>
          <w:szCs w:val="24"/>
          <w:lang w:eastAsia="it-IT"/>
        </w:rPr>
        <w:t>____________________</w:t>
      </w:r>
    </w:p>
    <w:p w:rsidR="0020575E" w:rsidRPr="00DD42BA" w:rsidRDefault="0020575E" w:rsidP="00DD42BA">
      <w:pPr>
        <w:suppressAutoHyphens w:val="0"/>
        <w:autoSpaceDE w:val="0"/>
        <w:autoSpaceDN w:val="0"/>
        <w:adjustRightInd w:val="0"/>
        <w:spacing w:after="0" w:line="276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Garamond" w:hAnsi="Garamond" w:cs="TimesNewRomanPSMT"/>
          <w:position w:val="0"/>
          <w:sz w:val="24"/>
          <w:szCs w:val="24"/>
          <w:lang w:eastAsia="it-IT"/>
        </w:rPr>
      </w:pPr>
    </w:p>
    <w:p w:rsidR="00DD7D05" w:rsidRDefault="00CA40FC" w:rsidP="00CA40F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" w:hanging="2"/>
        <w:jc w:val="center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  <w:r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 xml:space="preserve">                                                                                </w:t>
      </w:r>
      <w:r w:rsidR="006E24A4" w:rsidRPr="00DD42BA"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>Firma del dichiarante</w:t>
      </w:r>
    </w:p>
    <w:p w:rsidR="0020575E" w:rsidRDefault="0020575E" w:rsidP="005E4E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" w:hanging="2"/>
        <w:jc w:val="right"/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</w:pPr>
    </w:p>
    <w:p w:rsidR="0020575E" w:rsidRPr="00DD42BA" w:rsidRDefault="0020575E" w:rsidP="005E4E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left="2" w:hanging="2"/>
        <w:jc w:val="right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 w:cs="TimesNewRomanPS-BoldMT"/>
          <w:b/>
          <w:bCs/>
          <w:position w:val="0"/>
          <w:sz w:val="24"/>
          <w:szCs w:val="24"/>
          <w:lang w:eastAsia="it-IT"/>
        </w:rPr>
        <w:t>______________________________________</w:t>
      </w:r>
    </w:p>
    <w:sectPr w:rsidR="0020575E" w:rsidRPr="00DD42BA" w:rsidSect="001B7C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F6" w:rsidRDefault="00CC7EF6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CC7EF6" w:rsidRDefault="00CC7EF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F6" w:rsidRDefault="00CC7EF6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CC7EF6" w:rsidRDefault="00CC7EF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05" w:rsidRDefault="001C77F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>
          <wp:extent cx="6120130" cy="5283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lo fu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28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rPr>
          <w:color w:val="000000"/>
        </w:rPr>
        <w:id w:val="-1896729476"/>
        <w:docPartObj>
          <w:docPartGallery w:val="Page Numbers (Margins)"/>
          <w:docPartUnique/>
        </w:docPartObj>
      </w:sdtPr>
      <w:sdtEndPr/>
      <w:sdtContent>
        <w:r>
          <w:rPr>
            <w:noProof/>
            <w:color w:val="000000"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5945" cy="329565"/>
                  <wp:effectExtent l="0" t="0" r="0" b="0"/>
                  <wp:wrapNone/>
                  <wp:docPr id="22" name="Rettangolo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94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55961" w:rsidRDefault="00B82516">
                              <w:pPr>
                                <w:pBdr>
                                  <w:bottom w:val="single" w:sz="4" w:space="1" w:color="auto"/>
                                </w:pBdr>
                                <w:ind w:left="0" w:hanging="2"/>
                              </w:pPr>
                              <w:r>
                                <w:fldChar w:fldCharType="begin"/>
                              </w:r>
                              <w:r w:rsidR="00355961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052816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tangolo 22" o:spid="_x0000_s1026" style="position:absolute;margin-left:-5.85pt;margin-top:0;width:45.3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" o:allowincell="f" stroked="f">
                  <v:textbox>
                    <w:txbxContent>
                      <w:p w:rsidR="00355961" w:rsidRDefault="00B82516">
                        <w:pPr>
                          <w:pBdr>
                            <w:bottom w:val="single" w:sz="4" w:space="1" w:color="auto"/>
                          </w:pBdr>
                          <w:ind w:left="0" w:hanging="2"/>
                        </w:pPr>
                        <w:r>
                          <w:fldChar w:fldCharType="begin"/>
                        </w:r>
                        <w:r w:rsidR="00355961">
                          <w:instrText>PAGE   \* MERGEFORMAT</w:instrText>
                        </w:r>
                        <w:r>
                          <w:fldChar w:fldCharType="separate"/>
                        </w:r>
                        <w:r w:rsidR="00052816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3689B">
      <w:rPr>
        <w:noProof/>
        <w:color w:val="000000"/>
        <w:lang w:eastAsia="it-IT"/>
      </w:rPr>
      <w:drawing>
        <wp:inline distT="0" distB="0" distL="114300" distR="114300">
          <wp:extent cx="6103620" cy="718185"/>
          <wp:effectExtent l="0" t="0" r="0" b="0"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D7D05" w:rsidRDefault="00CA31C2" w:rsidP="00CA31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>
          <wp:extent cx="4108845" cy="781397"/>
          <wp:effectExtent l="0" t="0" r="6350" b="0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pia 2023 senza mi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2281" cy="804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1C2" w:rsidRDefault="00CA31C2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A6293B"/>
    <w:multiLevelType w:val="hybridMultilevel"/>
    <w:tmpl w:val="D75A292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CDB2276"/>
    <w:multiLevelType w:val="hybridMultilevel"/>
    <w:tmpl w:val="511CF59E"/>
    <w:lvl w:ilvl="0" w:tplc="7ACC423C">
      <w:numFmt w:val="bullet"/>
      <w:lvlText w:val="-"/>
      <w:lvlJc w:val="left"/>
      <w:pPr>
        <w:ind w:left="106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16A146E"/>
    <w:multiLevelType w:val="hybridMultilevel"/>
    <w:tmpl w:val="C3E820AC"/>
    <w:lvl w:ilvl="0" w:tplc="0410000F">
      <w:start w:val="1"/>
      <w:numFmt w:val="decimal"/>
      <w:lvlText w:val="%1."/>
      <w:lvlJc w:val="left"/>
      <w:pPr>
        <w:ind w:left="106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52DFC"/>
    <w:multiLevelType w:val="hybridMultilevel"/>
    <w:tmpl w:val="9768E68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75070"/>
    <w:multiLevelType w:val="hybridMultilevel"/>
    <w:tmpl w:val="3312833C"/>
    <w:lvl w:ilvl="0" w:tplc="1EAC0A6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708EA"/>
    <w:multiLevelType w:val="hybridMultilevel"/>
    <w:tmpl w:val="3904CE3A"/>
    <w:lvl w:ilvl="0" w:tplc="7282427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8A15B8C"/>
    <w:multiLevelType w:val="hybridMultilevel"/>
    <w:tmpl w:val="9C7E3F50"/>
    <w:lvl w:ilvl="0" w:tplc="0410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1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85FEB"/>
    <w:multiLevelType w:val="hybridMultilevel"/>
    <w:tmpl w:val="1DF6A712"/>
    <w:lvl w:ilvl="0" w:tplc="51849330">
      <w:numFmt w:val="bullet"/>
      <w:lvlText w:val="-"/>
      <w:lvlJc w:val="left"/>
      <w:pPr>
        <w:ind w:left="1069" w:hanging="360"/>
      </w:pPr>
      <w:rPr>
        <w:rFonts w:ascii="Garamond" w:eastAsia="Calibri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562A00"/>
    <w:multiLevelType w:val="multilevel"/>
    <w:tmpl w:val="4E242DEE"/>
    <w:lvl w:ilvl="0">
      <w:start w:val="1"/>
      <w:numFmt w:val="decimal"/>
      <w:lvlText w:val="%1."/>
      <w:lvlJc w:val="left"/>
      <w:pPr>
        <w:ind w:left="568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52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51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0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4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8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8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556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40" w:hanging="284"/>
      </w:pPr>
      <w:rPr>
        <w:rFonts w:hint="default"/>
      </w:rPr>
    </w:lvl>
  </w:abstractNum>
  <w:abstractNum w:abstractNumId="16" w15:restartNumberingAfterBreak="0">
    <w:nsid w:val="7A66654D"/>
    <w:multiLevelType w:val="hybridMultilevel"/>
    <w:tmpl w:val="2796F71A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9"/>
  </w:num>
  <w:num w:numId="2">
    <w:abstractNumId w:val="16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12"/>
  </w:num>
  <w:num w:numId="8">
    <w:abstractNumId w:val="13"/>
  </w:num>
  <w:num w:numId="9">
    <w:abstractNumId w:val="5"/>
  </w:num>
  <w:num w:numId="10">
    <w:abstractNumId w:val="15"/>
  </w:num>
  <w:num w:numId="11">
    <w:abstractNumId w:val="3"/>
  </w:num>
  <w:num w:numId="12">
    <w:abstractNumId w:val="8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05"/>
    <w:rsid w:val="00025024"/>
    <w:rsid w:val="0003082A"/>
    <w:rsid w:val="0003689B"/>
    <w:rsid w:val="00052816"/>
    <w:rsid w:val="000714F9"/>
    <w:rsid w:val="000A5E12"/>
    <w:rsid w:val="000C766A"/>
    <w:rsid w:val="0011477D"/>
    <w:rsid w:val="0012142F"/>
    <w:rsid w:val="00124B07"/>
    <w:rsid w:val="00125F59"/>
    <w:rsid w:val="00144600"/>
    <w:rsid w:val="001809A9"/>
    <w:rsid w:val="00187C34"/>
    <w:rsid w:val="00194A41"/>
    <w:rsid w:val="001A06E7"/>
    <w:rsid w:val="001B6E22"/>
    <w:rsid w:val="001B7C06"/>
    <w:rsid w:val="001C48CA"/>
    <w:rsid w:val="001C77F4"/>
    <w:rsid w:val="001E342A"/>
    <w:rsid w:val="0020575E"/>
    <w:rsid w:val="002301BB"/>
    <w:rsid w:val="00264955"/>
    <w:rsid w:val="00284246"/>
    <w:rsid w:val="00336ABD"/>
    <w:rsid w:val="00355961"/>
    <w:rsid w:val="003D4CF9"/>
    <w:rsid w:val="0049521C"/>
    <w:rsid w:val="004A004F"/>
    <w:rsid w:val="004C27FC"/>
    <w:rsid w:val="004F5238"/>
    <w:rsid w:val="005247D8"/>
    <w:rsid w:val="00546763"/>
    <w:rsid w:val="005672CA"/>
    <w:rsid w:val="00593BFC"/>
    <w:rsid w:val="005A39E6"/>
    <w:rsid w:val="005B7135"/>
    <w:rsid w:val="005D33E9"/>
    <w:rsid w:val="005E4E77"/>
    <w:rsid w:val="00613E5F"/>
    <w:rsid w:val="00626727"/>
    <w:rsid w:val="00635513"/>
    <w:rsid w:val="006C40FE"/>
    <w:rsid w:val="006D1F38"/>
    <w:rsid w:val="006E24A4"/>
    <w:rsid w:val="006F5842"/>
    <w:rsid w:val="00755C8C"/>
    <w:rsid w:val="00757C5D"/>
    <w:rsid w:val="007A2A62"/>
    <w:rsid w:val="007E5190"/>
    <w:rsid w:val="008441A7"/>
    <w:rsid w:val="00867AC3"/>
    <w:rsid w:val="0088164B"/>
    <w:rsid w:val="008835C8"/>
    <w:rsid w:val="00885329"/>
    <w:rsid w:val="008C0607"/>
    <w:rsid w:val="008D02A7"/>
    <w:rsid w:val="00923809"/>
    <w:rsid w:val="009326D0"/>
    <w:rsid w:val="00955965"/>
    <w:rsid w:val="00981FCA"/>
    <w:rsid w:val="00995B1F"/>
    <w:rsid w:val="009D6C24"/>
    <w:rsid w:val="009E2936"/>
    <w:rsid w:val="009F60FE"/>
    <w:rsid w:val="00A36AB4"/>
    <w:rsid w:val="00A46382"/>
    <w:rsid w:val="00A90F89"/>
    <w:rsid w:val="00AA0EE1"/>
    <w:rsid w:val="00AB59A4"/>
    <w:rsid w:val="00AD4616"/>
    <w:rsid w:val="00B04C3D"/>
    <w:rsid w:val="00B301A4"/>
    <w:rsid w:val="00B4552C"/>
    <w:rsid w:val="00B64989"/>
    <w:rsid w:val="00B82516"/>
    <w:rsid w:val="00BC645A"/>
    <w:rsid w:val="00C11593"/>
    <w:rsid w:val="00C45CAB"/>
    <w:rsid w:val="00C63DED"/>
    <w:rsid w:val="00CA31C2"/>
    <w:rsid w:val="00CA40FC"/>
    <w:rsid w:val="00CB1A31"/>
    <w:rsid w:val="00CB71DF"/>
    <w:rsid w:val="00CC194F"/>
    <w:rsid w:val="00CC7EF6"/>
    <w:rsid w:val="00CF4B2E"/>
    <w:rsid w:val="00D400F6"/>
    <w:rsid w:val="00D613C7"/>
    <w:rsid w:val="00D92B8D"/>
    <w:rsid w:val="00DD42BA"/>
    <w:rsid w:val="00DD7D05"/>
    <w:rsid w:val="00E82F02"/>
    <w:rsid w:val="00E945F1"/>
    <w:rsid w:val="00ED7BBC"/>
    <w:rsid w:val="00EE69C8"/>
    <w:rsid w:val="00F2424E"/>
    <w:rsid w:val="00F27E4B"/>
    <w:rsid w:val="00F86288"/>
    <w:rsid w:val="00FC3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594D70"/>
  <w15:docId w15:val="{6A3B209A-546A-4523-B600-10D06DCC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11593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1B7C06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B7C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B7C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B7C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B7C06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B7C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B7C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B7C0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1B7C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rsid w:val="001B7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sid w:val="001B7C06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rsid w:val="001B7C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sid w:val="001B7C06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1B7C0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B7C06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1B7C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edcontent">
    <w:name w:val="markedcontent"/>
    <w:basedOn w:val="Carpredefinitoparagrafo"/>
    <w:rsid w:val="00885329"/>
  </w:style>
  <w:style w:type="paragraph" w:customStyle="1" w:styleId="Articolo">
    <w:name w:val="Articolo"/>
    <w:basedOn w:val="Normale"/>
    <w:link w:val="ArticoloCarattere"/>
    <w:qFormat/>
    <w:rsid w:val="00FC3476"/>
    <w:pPr>
      <w:suppressAutoHyphens w:val="0"/>
      <w:spacing w:after="120" w:line="240" w:lineRule="auto"/>
      <w:ind w:leftChars="0" w:left="0" w:firstLineChars="0" w:firstLine="0"/>
      <w:contextualSpacing/>
      <w:jc w:val="center"/>
      <w:textDirection w:val="lrTb"/>
      <w:textAlignment w:val="center"/>
      <w:outlineLvl w:val="9"/>
    </w:pPr>
    <w:rPr>
      <w:rFonts w:eastAsia="Times New Roman"/>
      <w:b/>
      <w:bCs/>
      <w:position w:val="0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C3476"/>
    <w:rPr>
      <w:rFonts w:eastAsia="Times New Roman"/>
      <w:b/>
      <w:bCs/>
      <w:sz w:val="22"/>
      <w:szCs w:val="22"/>
    </w:rPr>
  </w:style>
  <w:style w:type="character" w:customStyle="1" w:styleId="ui-provider">
    <w:name w:val="ui-provider"/>
    <w:basedOn w:val="Carpredefinitoparagrafo"/>
    <w:rsid w:val="00FC3476"/>
  </w:style>
  <w:style w:type="character" w:styleId="Enfasigrassetto">
    <w:name w:val="Strong"/>
    <w:basedOn w:val="Carpredefinitoparagrafo"/>
    <w:uiPriority w:val="22"/>
    <w:qFormat/>
    <w:rsid w:val="00FC3476"/>
    <w:rPr>
      <w:b/>
      <w:bCs/>
    </w:rPr>
  </w:style>
  <w:style w:type="character" w:customStyle="1" w:styleId="hgkelc">
    <w:name w:val="hgkelc"/>
    <w:basedOn w:val="Carpredefinitoparagrafo"/>
    <w:rsid w:val="00336AB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55C8C"/>
    <w:rPr>
      <w:position w:val="-1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A46382"/>
    <w:pPr>
      <w:numPr>
        <w:numId w:val="12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A46382"/>
    <w:rPr>
      <w:rFonts w:asciiTheme="minorHAnsi" w:eastAsiaTheme="minorHAnsi" w:hAnsiTheme="minorHAnsi" w:cstheme="minorBidi"/>
      <w:position w:val="-1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3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3BFC"/>
    <w:rPr>
      <w:rFonts w:ascii="Tahoma" w:hAnsi="Tahoma" w:cs="Tahoma"/>
      <w:position w:val="-1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B71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0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Home/Privacy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gXPxgr0YiCOeRmCmEUOpYBoRdA==">AMUW2mXS73njmQqgwSsr5ms47vk1RNdQOCL7EjH1Y09DaQw97Z804U2huaiB6mH78HqPOIu7GZns+HCPde8GRr5i2GwuvtnykiXzTQ8aBmbtyhWaAHIOliM=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Assistente3</cp:lastModifiedBy>
  <cp:revision>6</cp:revision>
  <dcterms:created xsi:type="dcterms:W3CDTF">2024-03-28T12:06:00Z</dcterms:created>
  <dcterms:modified xsi:type="dcterms:W3CDTF">2025-02-25T12:55:00Z</dcterms:modified>
</cp:coreProperties>
</file>