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prevenzione e contrasto della dispersione scolastica (D.M. 19/2024).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“B”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SCHEDA DI VALUTAZIONE TITOLI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Realizzazione di Percorsi formativi e laboratoriali co-curriculari "Logos e Dialettica: laboratorio di Debate"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_______________________________________________________ il_________________ 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a_____________________________________ Provincia di _____ 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________________________________________________________________ n. _________ </w:t>
      </w:r>
    </w:p>
    <w:p w:rsidR="00000000" w:rsidDel="00000000" w:rsidP="00000000" w:rsidRDefault="00000000" w:rsidRPr="00000000" w14:paraId="0000001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 ______________________________________________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tbl>
      <w:tblPr>
        <w:tblStyle w:val="Table2"/>
        <w:tblW w:w="98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5"/>
        <w:gridCol w:w="2673"/>
        <w:gridCol w:w="2713"/>
        <w:gridCol w:w="1276"/>
        <w:gridCol w:w="851"/>
        <w:gridCol w:w="851"/>
        <w:tblGridChange w:id="0">
          <w:tblGrid>
            <w:gridCol w:w="1525"/>
            <w:gridCol w:w="2673"/>
            <w:gridCol w:w="2713"/>
            <w:gridCol w:w="1276"/>
            <w:gridCol w:w="851"/>
            <w:gridCol w:w="851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AUTO</w:t>
            </w:r>
          </w:p>
          <w:p w:rsidR="00000000" w:rsidDel="00000000" w:rsidP="00000000" w:rsidRDefault="00000000" w:rsidRPr="00000000" w14:paraId="00000025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10 per votazione 110 e lode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9 per votazione 110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7 per votazione da 109 a 99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per votazione fino a 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Executive (Corso di specializzazione) o Master Universitario o dottorato di ricerca attinente all’azione da realizzare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per ciascun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Certificazioni informatiche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Certificazione linguistiche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 di formazione certificati su tematiche inerenti al profilo richiesto (in qualità di discente)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Docenza universitaria coerente con la tipologia di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5 per ogni anno di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insegnamento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Anzianità di servizio o Esperienze lavorative con Istituzioni scolastiche professionalmente rilevanti dimostrabili (contratti stipulati) pertinenti con l’incarico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ogni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pregressa nella gestione, nella progettazione, nella docenza/formazione nell’ambito di progetti PON-FSE, POR-FSE, ERASMUS, PNSD, PNRR, PCTO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 per ogni esperienza/incarico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B all’Avviso – Scheda valutazione titoli</w:t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dy6vkm" w:id="6"/>
    <w:bookmarkEnd w:id="6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D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QPMLNy63UMHMpCRsFbXE5JZsQ==">CgMxLjAyCGguZ2pkZ3hzMgloLjMwajB6bGwyCWguMzBqMHpsbDIJaC4xZm9iOXRlMgloLjN6bnlzaDcyCWguMmV0OTJwMDIIaC50eWpjd3QyCWguM2R5NnZrbTgAciExSnJZYTN5bGcyekhZMHB0ek84YnZhVjRSQTBNZGJBa20=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2025-03-01T11:52:00Z</dcterms:created>
  <dc:creator>STF1</dc:creator>
</cp:coreProperties>
</file>