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9DDAD" w14:textId="77777777" w:rsidR="00765120" w:rsidRDefault="00700D25">
      <w:pPr>
        <w:pStyle w:val="Default"/>
        <w:jc w:val="center"/>
        <w:rPr>
          <w:rFonts w:ascii="Calibri" w:hAnsi="Calibri" w:cs="Times New Roman"/>
          <w:b/>
          <w:bCs/>
        </w:rPr>
      </w:pPr>
      <w:r>
        <w:rPr>
          <w:rFonts w:ascii="Calibri" w:hAnsi="Calibri" w:cs="Times New Roman"/>
          <w:b/>
          <w:bCs/>
        </w:rPr>
        <w:t xml:space="preserve">Dichiarazione sostitutiva cause di esclusione di cui all'art. 94 del D. Lgs. n. 36/2023 </w:t>
      </w:r>
    </w:p>
    <w:p w14:paraId="76BA25F0" w14:textId="77777777" w:rsidR="00765120" w:rsidRDefault="00765120">
      <w:pPr>
        <w:pStyle w:val="Default"/>
        <w:jc w:val="both"/>
        <w:rPr>
          <w:rFonts w:ascii="Calibri" w:hAnsi="Calibri"/>
        </w:rPr>
      </w:pPr>
    </w:p>
    <w:p w14:paraId="5E4E5E33" w14:textId="77777777" w:rsidR="00765120" w:rsidRDefault="00700D25">
      <w:pPr>
        <w:pStyle w:val="Default"/>
        <w:jc w:val="center"/>
      </w:pPr>
      <w:r>
        <w:rPr>
          <w:rFonts w:ascii="Calibri" w:hAnsi="Calibri" w:cs="Times New Roman"/>
          <w:b/>
          <w:bCs/>
          <w:sz w:val="22"/>
          <w:szCs w:val="22"/>
        </w:rPr>
        <w:t>DICHIARAZIONE SOSTITUTIVA DELL’ATTO DI NOTORIETÀ</w:t>
      </w:r>
    </w:p>
    <w:p w14:paraId="7F80A7A9" w14:textId="77777777" w:rsidR="00765120" w:rsidRDefault="00700D25">
      <w:pPr>
        <w:pStyle w:val="Default"/>
        <w:jc w:val="center"/>
      </w:pPr>
      <w:r>
        <w:rPr>
          <w:rFonts w:ascii="Calibri" w:hAnsi="Calibri"/>
          <w:sz w:val="22"/>
          <w:szCs w:val="22"/>
          <w:lang w:val="en-US"/>
        </w:rPr>
        <w:t>(</w:t>
      </w:r>
      <w:r>
        <w:rPr>
          <w:rFonts w:ascii="Calibri" w:hAnsi="Calibri"/>
          <w:i/>
          <w:iCs/>
          <w:sz w:val="22"/>
          <w:szCs w:val="22"/>
          <w:lang w:val="en-US"/>
        </w:rPr>
        <w:t>art. 47 del D.P.R. 28.12.2000, n. 445</w:t>
      </w:r>
      <w:r>
        <w:rPr>
          <w:rFonts w:ascii="Calibri" w:hAnsi="Calibri"/>
          <w:sz w:val="22"/>
          <w:szCs w:val="22"/>
          <w:lang w:val="en-US"/>
        </w:rPr>
        <w:t>)</w:t>
      </w:r>
    </w:p>
    <w:p w14:paraId="05ACF622" w14:textId="77777777" w:rsidR="00765120" w:rsidRDefault="00765120">
      <w:pPr>
        <w:pStyle w:val="Default"/>
        <w:jc w:val="both"/>
        <w:rPr>
          <w:rFonts w:ascii="Calibri" w:hAnsi="Calibri"/>
          <w:sz w:val="22"/>
          <w:szCs w:val="22"/>
          <w:lang w:val="en-US"/>
        </w:rPr>
      </w:pPr>
    </w:p>
    <w:p w14:paraId="576B3404" w14:textId="77777777" w:rsidR="00765120" w:rsidRDefault="00700D25">
      <w:pPr>
        <w:pStyle w:val="Default"/>
        <w:jc w:val="both"/>
        <w:rPr>
          <w:rFonts w:ascii="Calibri" w:hAnsi="Calibri"/>
          <w:sz w:val="22"/>
          <w:szCs w:val="22"/>
        </w:rPr>
      </w:pPr>
      <w:r>
        <w:rPr>
          <w:rFonts w:ascii="Calibri" w:hAnsi="Calibri"/>
          <w:sz w:val="22"/>
          <w:szCs w:val="22"/>
        </w:rPr>
        <w:t xml:space="preserve">Il sottoscritto </w:t>
      </w:r>
      <w:r>
        <w:rPr>
          <w:rFonts w:ascii="Calibri" w:hAnsi="Calibri"/>
          <w:sz w:val="22"/>
          <w:szCs w:val="22"/>
        </w:rPr>
        <w:t>_______________________________________,</w:t>
      </w:r>
    </w:p>
    <w:p w14:paraId="46B76A19" w14:textId="77777777" w:rsidR="00765120" w:rsidRDefault="00700D25">
      <w:pPr>
        <w:pStyle w:val="Default"/>
        <w:jc w:val="both"/>
        <w:rPr>
          <w:rFonts w:ascii="Calibri" w:hAnsi="Calibri"/>
          <w:sz w:val="22"/>
          <w:szCs w:val="22"/>
        </w:rPr>
      </w:pPr>
      <w:r>
        <w:rPr>
          <w:rFonts w:ascii="Calibri" w:hAnsi="Calibri"/>
          <w:sz w:val="22"/>
          <w:szCs w:val="22"/>
        </w:rPr>
        <w:t>nato a ____________________________________, il _____________________,</w:t>
      </w:r>
    </w:p>
    <w:p w14:paraId="056E2976" w14:textId="77777777" w:rsidR="00765120" w:rsidRDefault="00700D25">
      <w:pPr>
        <w:pStyle w:val="Default"/>
        <w:jc w:val="both"/>
        <w:rPr>
          <w:rFonts w:ascii="Calibri" w:hAnsi="Calibri"/>
          <w:sz w:val="22"/>
          <w:szCs w:val="22"/>
        </w:rPr>
      </w:pPr>
      <w:r>
        <w:rPr>
          <w:rFonts w:ascii="Calibri" w:hAnsi="Calibri"/>
          <w:sz w:val="22"/>
          <w:szCs w:val="22"/>
        </w:rPr>
        <w:t>residente a ________________________, in Via/Piazza_______________________________,</w:t>
      </w:r>
    </w:p>
    <w:p w14:paraId="6E394851" w14:textId="77777777" w:rsidR="00765120" w:rsidRDefault="00700D25">
      <w:pPr>
        <w:pStyle w:val="Default"/>
        <w:jc w:val="both"/>
        <w:rPr>
          <w:rFonts w:ascii="Calibri" w:hAnsi="Calibri"/>
          <w:sz w:val="22"/>
          <w:szCs w:val="22"/>
        </w:rPr>
      </w:pPr>
      <w:r>
        <w:rPr>
          <w:rFonts w:ascii="Calibri" w:hAnsi="Calibri"/>
          <w:sz w:val="22"/>
          <w:szCs w:val="22"/>
        </w:rPr>
        <w:t>nella sua qualità di _____________________________ e legale rappresentante dello Studio/Società/Libero-Professionista ________________________, con sede legale in_____________________________, Via/Piazza_________________________, C.F._____________________, P.IVA n._________________</w:t>
      </w:r>
    </w:p>
    <w:p w14:paraId="26982AF6" w14:textId="77777777" w:rsidR="00765120" w:rsidRDefault="00765120">
      <w:pPr>
        <w:pStyle w:val="Default"/>
        <w:jc w:val="both"/>
        <w:rPr>
          <w:rFonts w:ascii="Calibri" w:hAnsi="Calibri"/>
          <w:i/>
          <w:iCs/>
          <w:sz w:val="18"/>
          <w:szCs w:val="18"/>
        </w:rPr>
      </w:pPr>
    </w:p>
    <w:p w14:paraId="36B4E99F" w14:textId="77777777" w:rsidR="00765120" w:rsidRDefault="00700D25">
      <w:pPr>
        <w:pStyle w:val="Default"/>
        <w:jc w:val="both"/>
        <w:rPr>
          <w:rFonts w:ascii="Calibri" w:hAnsi="Calibri"/>
          <w:b/>
          <w:bCs/>
          <w:sz w:val="22"/>
          <w:szCs w:val="22"/>
        </w:rPr>
      </w:pPr>
      <w:r>
        <w:rPr>
          <w:rFonts w:ascii="Calibri" w:hAnsi="Calibri"/>
          <w:b/>
          <w:bCs/>
          <w:sz w:val="22"/>
          <w:szCs w:val="22"/>
        </w:rPr>
        <w:t>consapevole delle sanzioni penali previste dall’art. 76 del D.P.R. 28/12/2000, n. 445, nel caso di dichiarazioni mendaci, esibizione di atti falsi o contenenti dati non più corrispondenti al vero</w:t>
      </w:r>
    </w:p>
    <w:p w14:paraId="557352D3" w14:textId="77777777" w:rsidR="00765120" w:rsidRDefault="00765120">
      <w:pPr>
        <w:pStyle w:val="Default"/>
        <w:jc w:val="both"/>
        <w:rPr>
          <w:rFonts w:ascii="Calibri" w:hAnsi="Calibri"/>
          <w:b/>
          <w:bCs/>
          <w:sz w:val="18"/>
          <w:szCs w:val="18"/>
        </w:rPr>
      </w:pPr>
    </w:p>
    <w:p w14:paraId="443D4F3B" w14:textId="77777777" w:rsidR="00765120" w:rsidRDefault="00700D25">
      <w:pPr>
        <w:pStyle w:val="Default"/>
        <w:jc w:val="center"/>
        <w:rPr>
          <w:rFonts w:ascii="Calibri" w:hAnsi="Calibri"/>
          <w:b/>
          <w:bCs/>
          <w:sz w:val="22"/>
          <w:szCs w:val="22"/>
        </w:rPr>
      </w:pPr>
      <w:r>
        <w:rPr>
          <w:rFonts w:ascii="Calibri" w:hAnsi="Calibri"/>
          <w:b/>
          <w:bCs/>
          <w:sz w:val="22"/>
          <w:szCs w:val="22"/>
        </w:rPr>
        <w:t>DICHIARA</w:t>
      </w:r>
    </w:p>
    <w:p w14:paraId="7F155775" w14:textId="77777777" w:rsidR="00765120" w:rsidRDefault="00765120">
      <w:pPr>
        <w:pStyle w:val="Default"/>
        <w:jc w:val="both"/>
        <w:rPr>
          <w:rFonts w:ascii="Calibri" w:hAnsi="Calibri"/>
          <w:sz w:val="18"/>
          <w:szCs w:val="18"/>
        </w:rPr>
      </w:pPr>
    </w:p>
    <w:p w14:paraId="70C91937" w14:textId="77777777" w:rsidR="00765120" w:rsidRDefault="00700D25">
      <w:pPr>
        <w:pStyle w:val="Default"/>
        <w:jc w:val="both"/>
        <w:rPr>
          <w:rFonts w:ascii="Calibri" w:hAnsi="Calibri"/>
          <w:sz w:val="22"/>
          <w:szCs w:val="22"/>
        </w:rPr>
      </w:pPr>
      <w:r>
        <w:rPr>
          <w:rFonts w:ascii="Calibri" w:hAnsi="Calibri"/>
          <w:sz w:val="22"/>
          <w:szCs w:val="22"/>
        </w:rPr>
        <w:t>l’inesistenza delle cause di esclusione dalla partecipazione ad una procedura d’appalto o concessione elencate nell’art. 94 del D.Lgs. n. 36/2023, ed in particolare:</w:t>
      </w:r>
    </w:p>
    <w:p w14:paraId="6DD93A9B" w14:textId="77777777" w:rsidR="00765120" w:rsidRDefault="00765120">
      <w:pPr>
        <w:pStyle w:val="Default"/>
        <w:jc w:val="both"/>
        <w:rPr>
          <w:rFonts w:ascii="Calibri" w:hAnsi="Calibri"/>
          <w:sz w:val="22"/>
          <w:szCs w:val="22"/>
        </w:rPr>
      </w:pPr>
    </w:p>
    <w:p w14:paraId="41AA2E3D" w14:textId="77777777" w:rsidR="00765120" w:rsidRDefault="00700D25">
      <w:pPr>
        <w:pStyle w:val="Default"/>
        <w:tabs>
          <w:tab w:val="left" w:pos="-95"/>
        </w:tabs>
        <w:jc w:val="both"/>
        <w:rPr>
          <w:rFonts w:ascii="Calibri" w:hAnsi="Calibri"/>
          <w:sz w:val="22"/>
          <w:szCs w:val="22"/>
        </w:rPr>
      </w:pPr>
      <w:r>
        <w:rPr>
          <w:rFonts w:ascii="Calibri" w:hAnsi="Calibri"/>
          <w:sz w:val="22"/>
          <w:szCs w:val="22"/>
        </w:rPr>
        <w:t>1. che nei propri confronti e nei confronti dei soggetti sopra indicati non è stata pronunciata sentenza definitiva di condanna o emesso decreto penale di condanna divenuto irrevocabile per uno dei seguenti reati:</w:t>
      </w:r>
    </w:p>
    <w:p w14:paraId="38BCC396" w14:textId="77777777" w:rsidR="00765120" w:rsidRDefault="00765120">
      <w:pPr>
        <w:pStyle w:val="Default"/>
        <w:tabs>
          <w:tab w:val="left" w:pos="625"/>
        </w:tabs>
        <w:ind w:left="720"/>
        <w:jc w:val="both"/>
        <w:rPr>
          <w:rFonts w:ascii="Calibri" w:hAnsi="Calibri"/>
          <w:sz w:val="22"/>
          <w:szCs w:val="22"/>
        </w:rPr>
      </w:pPr>
    </w:p>
    <w:p w14:paraId="3CA81AC6" w14:textId="77777777" w:rsidR="00765120" w:rsidRDefault="00700D25">
      <w:pPr>
        <w:pStyle w:val="Default"/>
        <w:spacing w:after="138"/>
        <w:ind w:left="737" w:hanging="397"/>
        <w:jc w:val="both"/>
        <w:rPr>
          <w:rFonts w:ascii="Calibri" w:hAnsi="Calibri"/>
          <w:sz w:val="22"/>
          <w:szCs w:val="22"/>
        </w:rPr>
      </w:pPr>
      <w:r>
        <w:rPr>
          <w:rFonts w:ascii="Calibri" w:hAnsi="Calibri"/>
          <w:sz w:val="22"/>
          <w:szCs w:val="22"/>
        </w:rPr>
        <w:t>a)</w:t>
      </w:r>
      <w:r>
        <w:rPr>
          <w:rFonts w:ascii="Calibri" w:hAnsi="Calibri"/>
          <w:sz w:val="22"/>
          <w:szCs w:val="22"/>
        </w:rPr>
        <w:tab/>
        <w:t xml:space="preserve">delitti, consumati o tentati, di cui agli articoli 416, 416-bis del codice penale ovvero delitti commessi avvalendosi delle condizioni previste dal predetto articolo 416-bis ovvero al fine di </w:t>
      </w:r>
      <w:r>
        <w:rPr>
          <w:rFonts w:ascii="Calibri" w:hAnsi="Calibri"/>
          <w:sz w:val="22"/>
          <w:szCs w:val="22"/>
        </w:rPr>
        <w:t>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w:t>
      </w:r>
      <w:r>
        <w:rPr>
          <w:rFonts w:ascii="Calibri" w:hAnsi="Calibri"/>
          <w:sz w:val="22"/>
          <w:szCs w:val="22"/>
        </w:rPr>
        <w:t>l Consiglio;</w:t>
      </w:r>
    </w:p>
    <w:p w14:paraId="1817EA22" w14:textId="77777777" w:rsidR="00765120" w:rsidRDefault="00700D25">
      <w:pPr>
        <w:pStyle w:val="Default"/>
        <w:spacing w:after="138"/>
        <w:ind w:left="794" w:hanging="397"/>
        <w:jc w:val="both"/>
        <w:rPr>
          <w:rFonts w:ascii="Calibri" w:hAnsi="Calibri"/>
          <w:sz w:val="22"/>
          <w:szCs w:val="22"/>
        </w:rPr>
      </w:pPr>
      <w:r>
        <w:rPr>
          <w:rFonts w:ascii="Calibri" w:hAnsi="Calibri"/>
          <w:sz w:val="22"/>
          <w:szCs w:val="22"/>
        </w:rPr>
        <w:t>b)</w:t>
      </w:r>
      <w:r>
        <w:rPr>
          <w:rFonts w:ascii="Calibri" w:hAnsi="Calibri"/>
          <w:sz w:val="22"/>
          <w:szCs w:val="22"/>
        </w:rPr>
        <w:tab/>
        <w:t>delitti, consumati o tentati, di cui agli articoli 317, 318, 319, 319-ter, 319-quater, 320, 321, 322, 322-bis, 346-bis, 353, 353-bis, 354, 355 e 356 del codice penale nonché all’articolo 2635 del codice civile;</w:t>
      </w:r>
    </w:p>
    <w:p w14:paraId="687DE9C6" w14:textId="77777777" w:rsidR="00765120" w:rsidRDefault="00700D25">
      <w:pPr>
        <w:pStyle w:val="Default"/>
        <w:spacing w:after="138"/>
        <w:ind w:left="794" w:hanging="397"/>
        <w:jc w:val="both"/>
      </w:pPr>
      <w:r>
        <w:rPr>
          <w:rFonts w:ascii="Calibri" w:hAnsi="Calibri"/>
          <w:sz w:val="22"/>
          <w:szCs w:val="22"/>
        </w:rPr>
        <w:t>c)     f</w:t>
      </w:r>
      <w:r>
        <w:rPr>
          <w:rFonts w:ascii="Calibri" w:hAnsi="Calibri"/>
        </w:rPr>
        <w:t>alse comunicazioni sociali di cui agli articoli 2621 e 2622 del codice civile</w:t>
      </w:r>
    </w:p>
    <w:p w14:paraId="417E3F73" w14:textId="77777777" w:rsidR="00765120" w:rsidRDefault="00700D25">
      <w:pPr>
        <w:pStyle w:val="Default"/>
        <w:spacing w:after="138"/>
        <w:ind w:left="794" w:hanging="397"/>
        <w:jc w:val="both"/>
      </w:pPr>
      <w:r>
        <w:rPr>
          <w:rFonts w:ascii="Calibri" w:hAnsi="Calibri"/>
        </w:rPr>
        <w:t xml:space="preserve">d)    frode ai sensi dell’art. 1 della convenzione relativa alla tutela degli interessi finanziari delle Comunità Europee del 26.07.1995; </w:t>
      </w:r>
    </w:p>
    <w:p w14:paraId="2354F58C" w14:textId="77777777" w:rsidR="00765120" w:rsidRDefault="00700D25">
      <w:pPr>
        <w:pStyle w:val="Default"/>
        <w:spacing w:after="138"/>
        <w:ind w:left="850" w:hanging="397"/>
        <w:jc w:val="both"/>
        <w:rPr>
          <w:rFonts w:ascii="Calibri" w:hAnsi="Calibri"/>
          <w:sz w:val="22"/>
          <w:szCs w:val="22"/>
        </w:rPr>
      </w:pPr>
      <w:r>
        <w:rPr>
          <w:rFonts w:ascii="Calibri" w:hAnsi="Calibri"/>
          <w:sz w:val="22"/>
          <w:szCs w:val="22"/>
        </w:rPr>
        <w:t>e)</w:t>
      </w:r>
      <w:r>
        <w:rPr>
          <w:rFonts w:ascii="Calibri" w:hAnsi="Calibri"/>
          <w:sz w:val="22"/>
          <w:szCs w:val="22"/>
        </w:rPr>
        <w:tab/>
        <w:t xml:space="preserve">delitti, consumati o tentati, commessi con </w:t>
      </w:r>
      <w:r>
        <w:rPr>
          <w:rFonts w:ascii="Calibri" w:hAnsi="Calibri"/>
          <w:sz w:val="22"/>
          <w:szCs w:val="22"/>
        </w:rPr>
        <w:t>finalità di terrorismo, anche internazionale, e di eversione dell’ordine costituzionale reati terroristici o reati connessi alle attività terroristiche;</w:t>
      </w:r>
    </w:p>
    <w:p w14:paraId="0D5CBC60" w14:textId="77777777" w:rsidR="00765120" w:rsidRDefault="00700D25">
      <w:pPr>
        <w:pStyle w:val="Default"/>
        <w:spacing w:after="138"/>
        <w:ind w:left="794" w:hanging="340"/>
        <w:jc w:val="both"/>
        <w:rPr>
          <w:rFonts w:ascii="Calibri" w:hAnsi="Calibri"/>
          <w:sz w:val="22"/>
          <w:szCs w:val="22"/>
        </w:rPr>
      </w:pPr>
      <w:r>
        <w:rPr>
          <w:rFonts w:ascii="Calibri" w:hAnsi="Calibri"/>
          <w:sz w:val="22"/>
          <w:szCs w:val="22"/>
        </w:rPr>
        <w:t>f)</w:t>
      </w:r>
      <w:r>
        <w:rPr>
          <w:rFonts w:ascii="Calibri" w:hAnsi="Calibri"/>
          <w:sz w:val="22"/>
          <w:szCs w:val="22"/>
        </w:rPr>
        <w:tab/>
        <w:t>delitti di cui agli articoli 648-bis, 648-ter e 648-ter.1 del codice penale, riciclaggio di proventi di attività criminose o finanziamento del terrorismo, quali definiti all’articolo 1 del decreto legislativo 22 giugno 2007, n. 109;</w:t>
      </w:r>
    </w:p>
    <w:p w14:paraId="39B37169" w14:textId="77777777" w:rsidR="00765120" w:rsidRDefault="00700D25">
      <w:pPr>
        <w:pStyle w:val="Default"/>
        <w:spacing w:after="138"/>
        <w:ind w:left="850" w:hanging="397"/>
        <w:jc w:val="both"/>
        <w:rPr>
          <w:rFonts w:ascii="Calibri" w:hAnsi="Calibri"/>
          <w:sz w:val="22"/>
          <w:szCs w:val="22"/>
        </w:rPr>
      </w:pPr>
      <w:r>
        <w:rPr>
          <w:rFonts w:ascii="Calibri" w:hAnsi="Calibri"/>
          <w:sz w:val="22"/>
          <w:szCs w:val="22"/>
        </w:rPr>
        <w:t>g)</w:t>
      </w:r>
      <w:r>
        <w:rPr>
          <w:rFonts w:ascii="Calibri" w:hAnsi="Calibri"/>
          <w:sz w:val="22"/>
          <w:szCs w:val="22"/>
        </w:rPr>
        <w:tab/>
        <w:t>sfruttamento del lavoro minorile e altre forme di tratta di esseri umani definite con il decreto legislativo 4 marzo 2014, n. 24;</w:t>
      </w:r>
    </w:p>
    <w:p w14:paraId="3412AE60" w14:textId="77777777" w:rsidR="00765120" w:rsidRDefault="00700D25">
      <w:pPr>
        <w:pStyle w:val="Default"/>
        <w:ind w:left="794" w:hanging="340"/>
        <w:jc w:val="both"/>
      </w:pPr>
      <w:r>
        <w:rPr>
          <w:rFonts w:ascii="Calibri" w:hAnsi="Calibri"/>
          <w:sz w:val="22"/>
          <w:szCs w:val="22"/>
        </w:rPr>
        <w:t>h)</w:t>
      </w:r>
      <w:r>
        <w:rPr>
          <w:rFonts w:ascii="Calibri" w:hAnsi="Calibri"/>
          <w:sz w:val="22"/>
          <w:szCs w:val="22"/>
        </w:rPr>
        <w:tab/>
        <w:t>ogni altro delitto da cui derivi, quale pena accessoria, l’incapacità di contrattare con la pubblica amministrazione</w:t>
      </w:r>
      <w:r>
        <w:rPr>
          <w:rStyle w:val="Rimandonotaapidipagina"/>
          <w:rFonts w:ascii="Calibri" w:hAnsi="Calibri"/>
          <w:sz w:val="22"/>
          <w:szCs w:val="22"/>
        </w:rPr>
        <w:footnoteReference w:id="1"/>
      </w:r>
    </w:p>
    <w:p w14:paraId="4BB85B90" w14:textId="77777777" w:rsidR="00765120" w:rsidRDefault="00765120">
      <w:pPr>
        <w:pStyle w:val="Default"/>
        <w:jc w:val="both"/>
        <w:rPr>
          <w:rFonts w:ascii="Calibri" w:hAnsi="Calibri"/>
          <w:sz w:val="22"/>
          <w:szCs w:val="22"/>
        </w:rPr>
      </w:pPr>
    </w:p>
    <w:p w14:paraId="7A9D701C" w14:textId="77777777" w:rsidR="00765120" w:rsidRDefault="00700D25">
      <w:pPr>
        <w:pStyle w:val="Default"/>
        <w:jc w:val="both"/>
      </w:pPr>
      <w:r>
        <w:rPr>
          <w:rFonts w:ascii="Calibri" w:hAnsi="Calibri"/>
          <w:sz w:val="22"/>
          <w:szCs w:val="22"/>
        </w:rPr>
        <w:t>oppure</w:t>
      </w:r>
    </w:p>
    <w:p w14:paraId="04E2E959" w14:textId="77777777" w:rsidR="00765120" w:rsidRDefault="00765120">
      <w:pPr>
        <w:pStyle w:val="Default"/>
        <w:jc w:val="both"/>
        <w:rPr>
          <w:rFonts w:ascii="Calibri" w:hAnsi="Calibri"/>
        </w:rPr>
      </w:pPr>
    </w:p>
    <w:p w14:paraId="101EA286" w14:textId="77777777" w:rsidR="00765120" w:rsidRDefault="00700D25">
      <w:pPr>
        <w:pStyle w:val="Default"/>
        <w:jc w:val="both"/>
        <w:rPr>
          <w:rFonts w:ascii="Calibri" w:hAnsi="Calibri"/>
          <w:sz w:val="22"/>
          <w:szCs w:val="22"/>
        </w:rPr>
      </w:pPr>
      <w:r>
        <w:rPr>
          <w:rFonts w:ascii="Calibri" w:hAnsi="Calibri"/>
          <w:sz w:val="22"/>
          <w:szCs w:val="22"/>
        </w:rPr>
        <w:t>di aver riportato le seguenti condanne: (indicare il/i soggetto/i specificando ruolo, imputazione, condanna)</w:t>
      </w:r>
    </w:p>
    <w:p w14:paraId="024DA216" w14:textId="77777777" w:rsidR="00765120" w:rsidRDefault="00700D25">
      <w:pPr>
        <w:pStyle w:val="Default"/>
        <w:jc w:val="both"/>
        <w:rPr>
          <w:rFonts w:ascii="Calibri" w:hAnsi="Calibri"/>
          <w:sz w:val="22"/>
          <w:szCs w:val="22"/>
        </w:rPr>
      </w:pPr>
      <w:r>
        <w:rPr>
          <w:rFonts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FCA54" w14:textId="77777777" w:rsidR="00765120" w:rsidRDefault="00700D25">
      <w:pPr>
        <w:pStyle w:val="Default"/>
        <w:tabs>
          <w:tab w:val="left" w:pos="742"/>
        </w:tabs>
        <w:spacing w:before="100" w:after="137"/>
        <w:jc w:val="both"/>
        <w:rPr>
          <w:rFonts w:ascii="Calibri" w:hAnsi="Calibri"/>
          <w:sz w:val="22"/>
          <w:szCs w:val="22"/>
        </w:rPr>
      </w:pPr>
      <w:r>
        <w:rPr>
          <w:rFonts w:ascii="Calibri" w:hAnsi="Calibri"/>
          <w:sz w:val="22"/>
          <w:szCs w:val="22"/>
        </w:rPr>
        <w:t>2. che non sussiste la causa di decadenza, di sospensione o di divieto previste dall’articolo 67 del decreto legislativo 6 settembre 2011, n. 159 o di un tentativo di infiltrazione mafiosa di cui all’articolo 84, comma 4, del medesimo decreto;</w:t>
      </w:r>
    </w:p>
    <w:p w14:paraId="4B11FC64" w14:textId="77777777" w:rsidR="00765120" w:rsidRDefault="00700D25">
      <w:pPr>
        <w:pStyle w:val="Default"/>
        <w:spacing w:before="100"/>
        <w:jc w:val="both"/>
      </w:pPr>
      <w:r>
        <w:rPr>
          <w:rFonts w:ascii="Calibri" w:hAnsi="Calibri"/>
          <w:sz w:val="22"/>
          <w:szCs w:val="22"/>
        </w:rPr>
        <w:t>3. che l’operatore economico non ha commesso violazioni gravi, definitivamente accertate, rispetto agli obblighi relativi al pagamento delle imposte e tasse o dei contributi previdenziali, secondo la legislazione italiana o quella dello Stato in cui sono stabiliti</w:t>
      </w:r>
      <w:r>
        <w:rPr>
          <w:rStyle w:val="Rimandonotaapidipagina"/>
          <w:rFonts w:ascii="Calibri" w:hAnsi="Calibri"/>
          <w:sz w:val="22"/>
          <w:szCs w:val="22"/>
        </w:rPr>
        <w:footnoteReference w:id="2"/>
      </w:r>
      <w:r>
        <w:rPr>
          <w:rFonts w:ascii="Calibri" w:hAnsi="Calibri"/>
          <w:sz w:val="14"/>
          <w:szCs w:val="14"/>
        </w:rPr>
        <w:t xml:space="preserve"> </w:t>
      </w:r>
      <w:r>
        <w:rPr>
          <w:rFonts w:ascii="Calibri" w:hAnsi="Calibri"/>
          <w:sz w:val="22"/>
          <w:szCs w:val="22"/>
        </w:rPr>
        <w:t>ed indica all’uopo i seguenti dati:</w:t>
      </w:r>
    </w:p>
    <w:p w14:paraId="0C0C6D43" w14:textId="77777777" w:rsidR="00765120" w:rsidRDefault="00700D25">
      <w:pPr>
        <w:pStyle w:val="Default"/>
        <w:spacing w:before="100"/>
        <w:ind w:left="397"/>
        <w:jc w:val="both"/>
      </w:pPr>
      <w:r>
        <w:rPr>
          <w:rFonts w:ascii="Calibri" w:eastAsia="Wingdings, Wingdings" w:hAnsi="Calibri" w:cs="Wingdings, Wingdings"/>
          <w:sz w:val="22"/>
          <w:szCs w:val="22"/>
        </w:rPr>
        <w:t></w:t>
      </w:r>
      <w:r>
        <w:rPr>
          <w:rFonts w:ascii="Calibri" w:eastAsia="Wingdings, Wingdings" w:hAnsi="Calibri" w:cs="Wingdings, Wingdings"/>
          <w:sz w:val="22"/>
          <w:szCs w:val="22"/>
        </w:rPr>
        <w:t></w:t>
      </w:r>
      <w:r>
        <w:rPr>
          <w:rFonts w:ascii="Calibri" w:hAnsi="Calibri"/>
          <w:sz w:val="22"/>
          <w:szCs w:val="22"/>
        </w:rPr>
        <w:t>Ufficio Locale dell’Agenzia delle Entrate competente:</w:t>
      </w:r>
    </w:p>
    <w:p w14:paraId="53C84A27" w14:textId="77777777" w:rsidR="00765120" w:rsidRDefault="00700D25">
      <w:pPr>
        <w:pStyle w:val="Default"/>
        <w:spacing w:before="100"/>
        <w:ind w:left="794"/>
        <w:jc w:val="both"/>
        <w:rPr>
          <w:rFonts w:ascii="Calibri" w:hAnsi="Calibri"/>
          <w:sz w:val="22"/>
          <w:szCs w:val="22"/>
        </w:rPr>
      </w:pPr>
      <w:r>
        <w:rPr>
          <w:rFonts w:ascii="Calibri" w:hAnsi="Calibri"/>
          <w:sz w:val="22"/>
          <w:szCs w:val="22"/>
        </w:rPr>
        <w:t>i. Indirizzo: _______________________________________________________;</w:t>
      </w:r>
    </w:p>
    <w:p w14:paraId="45D19774" w14:textId="77777777" w:rsidR="00765120" w:rsidRDefault="00700D25">
      <w:pPr>
        <w:pStyle w:val="Default"/>
        <w:spacing w:before="100"/>
        <w:ind w:left="794"/>
        <w:jc w:val="both"/>
        <w:rPr>
          <w:rFonts w:ascii="Calibri" w:hAnsi="Calibri"/>
          <w:sz w:val="22"/>
          <w:szCs w:val="22"/>
        </w:rPr>
      </w:pPr>
      <w:r>
        <w:rPr>
          <w:rFonts w:ascii="Calibri" w:hAnsi="Calibri"/>
          <w:sz w:val="22"/>
          <w:szCs w:val="22"/>
        </w:rPr>
        <w:t>ii. numero di telefono: ______________________________________________;</w:t>
      </w:r>
    </w:p>
    <w:p w14:paraId="14AC1C74" w14:textId="77777777" w:rsidR="00765120" w:rsidRDefault="00700D25">
      <w:pPr>
        <w:pStyle w:val="Default"/>
        <w:spacing w:before="100"/>
        <w:ind w:left="794"/>
        <w:jc w:val="both"/>
        <w:rPr>
          <w:rFonts w:ascii="Calibri" w:hAnsi="Calibri"/>
          <w:sz w:val="22"/>
          <w:szCs w:val="22"/>
        </w:rPr>
      </w:pPr>
      <w:r>
        <w:rPr>
          <w:rFonts w:ascii="Calibri" w:hAnsi="Calibri"/>
          <w:sz w:val="22"/>
          <w:szCs w:val="22"/>
        </w:rPr>
        <w:t>iii. pec, fax e/o e-mail: ______________________________________________;</w:t>
      </w:r>
    </w:p>
    <w:p w14:paraId="29CC436B" w14:textId="77777777" w:rsidR="00765120" w:rsidRDefault="00700D25">
      <w:pPr>
        <w:pStyle w:val="Default"/>
        <w:spacing w:before="100"/>
        <w:jc w:val="both"/>
      </w:pPr>
      <w:r>
        <w:rPr>
          <w:rFonts w:ascii="Calibri" w:hAnsi="Calibri"/>
        </w:rPr>
        <w:t>4.   che l’operatore economico non ha commesso gravi violazioni non definitivamente accertate agli    obblighi relativi al pagamento di imposte e tasse o contributi previdenziali</w:t>
      </w:r>
      <w:r>
        <w:rPr>
          <w:rStyle w:val="Rimandonotaapidipagina"/>
          <w:rFonts w:ascii="Calibri" w:hAnsi="Calibri"/>
        </w:rPr>
        <w:footnoteReference w:id="3"/>
      </w:r>
    </w:p>
    <w:p w14:paraId="1C4318F8" w14:textId="77777777" w:rsidR="00765120" w:rsidRDefault="00700D25">
      <w:pPr>
        <w:pStyle w:val="Default"/>
        <w:tabs>
          <w:tab w:val="left" w:pos="844"/>
        </w:tabs>
        <w:spacing w:before="100" w:after="138"/>
        <w:jc w:val="both"/>
        <w:rPr>
          <w:rFonts w:ascii="Calibri" w:hAnsi="Calibri"/>
          <w:sz w:val="22"/>
          <w:szCs w:val="22"/>
        </w:rPr>
      </w:pPr>
      <w:r>
        <w:rPr>
          <w:rFonts w:ascii="Calibri" w:hAnsi="Calibri"/>
          <w:sz w:val="22"/>
          <w:szCs w:val="22"/>
        </w:rPr>
        <w:t xml:space="preserve">5.   che l’operatore economico non ha commesso gravi infrazioni debitamente accertate alle norme in materia di salute e sicurezza sul lavoro nonché agli obblighi in materia ambientale, sociale e del lavoro stabiliti dalla </w:t>
      </w:r>
      <w:r>
        <w:rPr>
          <w:rFonts w:ascii="Calibri" w:hAnsi="Calibri"/>
          <w:sz w:val="22"/>
          <w:szCs w:val="22"/>
        </w:rPr>
        <w:lastRenderedPageBreak/>
        <w:t>normativa europea e nazionale, dai contratti collettivi o dalle disposizioni internazionali elencate nell’allegato X alla direttiva 2014/24/UE del Parlamento Europeo e del Consiglio del 26.02.2014;</w:t>
      </w:r>
    </w:p>
    <w:p w14:paraId="5521A54E" w14:textId="77777777" w:rsidR="00765120" w:rsidRDefault="00700D25">
      <w:pPr>
        <w:pStyle w:val="Default"/>
        <w:tabs>
          <w:tab w:val="left" w:pos="844"/>
        </w:tabs>
        <w:jc w:val="both"/>
        <w:rPr>
          <w:rFonts w:ascii="Calibri" w:hAnsi="Calibri"/>
          <w:sz w:val="22"/>
          <w:szCs w:val="22"/>
        </w:rPr>
      </w:pPr>
      <w:r>
        <w:rPr>
          <w:rFonts w:ascii="Calibri" w:hAnsi="Calibri"/>
          <w:sz w:val="22"/>
          <w:szCs w:val="22"/>
        </w:rPr>
        <w:t>6.  che l’operatore economico non sia destinatario della sanzione interdittiva di cui all’art. 9, c.2, lettera c), del decreto legislativo 8 giugno 2001, n. 231, o di altra sanzione che comporta il divieto di contrarre con la pubblica amministrazione compresi i provvedimenti interdittivi di cui all’art. 14 del D. Lgs. 9 aprile 2008, n. 81;</w:t>
      </w:r>
    </w:p>
    <w:p w14:paraId="06CF788E" w14:textId="77777777" w:rsidR="00765120" w:rsidRDefault="00765120">
      <w:pPr>
        <w:pStyle w:val="Default"/>
        <w:tabs>
          <w:tab w:val="left" w:pos="844"/>
        </w:tabs>
        <w:jc w:val="both"/>
        <w:rPr>
          <w:rFonts w:ascii="Calibri" w:hAnsi="Calibri"/>
          <w:sz w:val="22"/>
          <w:szCs w:val="22"/>
        </w:rPr>
      </w:pPr>
    </w:p>
    <w:p w14:paraId="6050A38B" w14:textId="77777777" w:rsidR="00765120" w:rsidRDefault="00700D25">
      <w:pPr>
        <w:pStyle w:val="Default"/>
        <w:jc w:val="both"/>
        <w:rPr>
          <w:rFonts w:ascii="Calibri" w:hAnsi="Calibri"/>
          <w:sz w:val="22"/>
          <w:szCs w:val="22"/>
        </w:rPr>
      </w:pPr>
      <w:r>
        <w:rPr>
          <w:rFonts w:ascii="Calibri" w:hAnsi="Calibri"/>
          <w:sz w:val="22"/>
          <w:szCs w:val="22"/>
        </w:rPr>
        <w:t xml:space="preserve"> 7. che l’operatore economico non sia sottoposto a liquidazione giudiziale o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D.Lgs. n. 36/2023;</w:t>
      </w:r>
    </w:p>
    <w:p w14:paraId="109F0209" w14:textId="77777777" w:rsidR="00765120" w:rsidRDefault="00765120">
      <w:pPr>
        <w:pStyle w:val="Default"/>
        <w:ind w:left="-57" w:hanging="454"/>
        <w:jc w:val="both"/>
        <w:rPr>
          <w:rFonts w:ascii="Calibri" w:hAnsi="Calibri"/>
          <w:sz w:val="22"/>
          <w:szCs w:val="22"/>
        </w:rPr>
      </w:pPr>
    </w:p>
    <w:p w14:paraId="3F1DD462" w14:textId="77777777" w:rsidR="00765120" w:rsidRDefault="00700D25">
      <w:pPr>
        <w:pStyle w:val="Default"/>
        <w:ind w:left="-57" w:hanging="454"/>
        <w:jc w:val="both"/>
      </w:pPr>
      <w:r>
        <w:rPr>
          <w:rFonts w:ascii="Calibri" w:hAnsi="Calibri"/>
          <w:sz w:val="22"/>
          <w:szCs w:val="22"/>
        </w:rPr>
        <w:t xml:space="preserve">          8. che l’operatore economico non si è reso colpevole di gravi illeciti professionali, tali da rendere dubbia la sua integrità o affidabilità</w:t>
      </w:r>
      <w:r>
        <w:rPr>
          <w:rStyle w:val="Rimandonotaapidipagina"/>
          <w:rFonts w:ascii="Calibri" w:hAnsi="Calibri"/>
          <w:sz w:val="22"/>
          <w:szCs w:val="22"/>
        </w:rPr>
        <w:footnoteReference w:id="4"/>
      </w:r>
      <w:r>
        <w:rPr>
          <w:rFonts w:ascii="Calibri" w:hAnsi="Calibri"/>
          <w:sz w:val="22"/>
          <w:szCs w:val="22"/>
        </w:rPr>
        <w:t>;</w:t>
      </w:r>
    </w:p>
    <w:p w14:paraId="76698785" w14:textId="77777777" w:rsidR="00765120" w:rsidRDefault="00765120">
      <w:pPr>
        <w:pStyle w:val="Default"/>
        <w:jc w:val="both"/>
      </w:pPr>
    </w:p>
    <w:p w14:paraId="4980E3F0" w14:textId="77777777" w:rsidR="00765120" w:rsidRDefault="00700D25">
      <w:pPr>
        <w:pStyle w:val="Default"/>
        <w:ind w:left="-57" w:hanging="397"/>
        <w:jc w:val="both"/>
        <w:rPr>
          <w:sz w:val="22"/>
          <w:szCs w:val="22"/>
        </w:rPr>
      </w:pPr>
      <w:r>
        <w:rPr>
          <w:sz w:val="22"/>
          <w:szCs w:val="22"/>
        </w:rPr>
        <w:t xml:space="preserve">        9. che la propria partecipazione non determina una situazione di conflitto di interesse ai sensi dell’articolo 16 del D. Lgs. n. 36/2023, non diversamente risolvibile;</w:t>
      </w:r>
    </w:p>
    <w:p w14:paraId="70B55A4E" w14:textId="77777777" w:rsidR="00765120" w:rsidRDefault="00700D25">
      <w:pPr>
        <w:pStyle w:val="Default"/>
        <w:spacing w:before="100"/>
        <w:ind w:left="-57"/>
        <w:jc w:val="both"/>
        <w:rPr>
          <w:sz w:val="22"/>
          <w:szCs w:val="22"/>
        </w:rPr>
      </w:pPr>
      <w:r>
        <w:rPr>
          <w:sz w:val="22"/>
          <w:szCs w:val="22"/>
        </w:rPr>
        <w:t>10.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l’operatore economico ha proceduto alla redazione del rapporto sulla situazione del personale, ai sensi dell’articolo 46 del codice delle pari opportunità tra uomo e donna, di cui al decreto leg</w:t>
      </w:r>
      <w:r>
        <w:rPr>
          <w:sz w:val="22"/>
          <w:szCs w:val="22"/>
        </w:rPr>
        <w:t>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w:t>
      </w:r>
      <w:r>
        <w:rPr>
          <w:sz w:val="22"/>
          <w:szCs w:val="22"/>
        </w:rPr>
        <w:t>esentanze sindacali aziendali e alla consigliera e al consigliere regionale di parità;</w:t>
      </w:r>
    </w:p>
    <w:p w14:paraId="785666A8" w14:textId="77777777" w:rsidR="00765120" w:rsidRDefault="00700D25">
      <w:pPr>
        <w:pStyle w:val="Default"/>
        <w:spacing w:before="100"/>
        <w:jc w:val="both"/>
        <w:rPr>
          <w:sz w:val="22"/>
          <w:szCs w:val="22"/>
        </w:rPr>
      </w:pPr>
      <w:r>
        <w:rPr>
          <w:sz w:val="22"/>
          <w:szCs w:val="22"/>
        </w:rPr>
        <w:t xml:space="preserve">11.  che la propria partecipazione non determina una distorsione della concorrenza derivante dal proprio precedente coinvolgimento nella preparazione della procedura d’appalto che non possa essere risolta con misure meno </w:t>
      </w:r>
      <w:r>
        <w:rPr>
          <w:sz w:val="22"/>
          <w:szCs w:val="22"/>
        </w:rPr>
        <w:t>intrusive;</w:t>
      </w:r>
    </w:p>
    <w:p w14:paraId="25AD32D8" w14:textId="77777777" w:rsidR="00765120" w:rsidRDefault="00700D25">
      <w:pPr>
        <w:pStyle w:val="Default"/>
        <w:spacing w:before="100"/>
        <w:jc w:val="both"/>
        <w:rPr>
          <w:sz w:val="22"/>
          <w:szCs w:val="22"/>
        </w:rPr>
      </w:pPr>
      <w:r>
        <w:rPr>
          <w:sz w:val="22"/>
          <w:szCs w:val="22"/>
        </w:rPr>
        <w:t>12.  che l’operatore economico non è iscritto nel casellario informatico tenuto dall’Osservatorio dell’ANAC per aver presentato false dichiarazioni o falsa documentazione nelle procedure di gara e negli affidamenti di subappalti e/o ai fini del rilascio dell’attestazione di qualificazione, per il periodo durante il quale perdura l’iscrizione;</w:t>
      </w:r>
    </w:p>
    <w:p w14:paraId="00844D08" w14:textId="77777777" w:rsidR="00765120" w:rsidRDefault="00700D25">
      <w:pPr>
        <w:pStyle w:val="Default"/>
        <w:spacing w:before="100"/>
        <w:jc w:val="both"/>
        <w:rPr>
          <w:sz w:val="22"/>
          <w:szCs w:val="22"/>
        </w:rPr>
      </w:pPr>
      <w:r>
        <w:rPr>
          <w:sz w:val="22"/>
          <w:szCs w:val="22"/>
        </w:rPr>
        <w:t>13. che l’operatore economico non ha violato il divieto di intestazione fiduciaria di cui all’articolo 17 della legge 19 marzo 1990, n. 55;</w:t>
      </w:r>
    </w:p>
    <w:p w14:paraId="6E8BE719" w14:textId="77777777" w:rsidR="00765120" w:rsidRDefault="00700D25">
      <w:pPr>
        <w:pStyle w:val="Default"/>
        <w:spacing w:before="100"/>
        <w:jc w:val="both"/>
        <w:rPr>
          <w:sz w:val="22"/>
          <w:szCs w:val="22"/>
        </w:rPr>
      </w:pPr>
      <w:r>
        <w:rPr>
          <w:sz w:val="22"/>
          <w:szCs w:val="22"/>
        </w:rPr>
        <w:t>14.  che, ai sensi dell’art. 17 della legge 12.03.1999, n. 68:</w:t>
      </w:r>
    </w:p>
    <w:p w14:paraId="082D96F5" w14:textId="77777777" w:rsidR="00765120" w:rsidRDefault="00700D25">
      <w:pPr>
        <w:pStyle w:val="Default"/>
        <w:spacing w:before="100"/>
        <w:ind w:left="340" w:hanging="567"/>
        <w:jc w:val="both"/>
        <w:rPr>
          <w:sz w:val="22"/>
          <w:szCs w:val="22"/>
        </w:rPr>
      </w:pPr>
      <w:r>
        <w:rPr>
          <w:sz w:val="22"/>
          <w:szCs w:val="22"/>
        </w:rPr>
        <w:t xml:space="preserve">    (Barrare la casella di interesse)</w:t>
      </w:r>
    </w:p>
    <w:p w14:paraId="5804F12C" w14:textId="77777777" w:rsidR="00765120" w:rsidRDefault="00700D25">
      <w:pPr>
        <w:pStyle w:val="Default"/>
        <w:spacing w:before="100" w:after="240"/>
        <w:jc w:val="both"/>
      </w:pPr>
      <w:r>
        <w:rPr>
          <w:rFonts w:ascii="Wingdings, Wingdings" w:eastAsia="Wingdings, Wingdings" w:hAnsi="Wingdings, Wingdings" w:cs="Wingdings, Wingdings"/>
          <w:sz w:val="16"/>
          <w:szCs w:val="16"/>
        </w:rPr>
        <w:t xml:space="preserve">  </w:t>
      </w:r>
      <w:r>
        <w:rPr>
          <w:sz w:val="22"/>
          <w:szCs w:val="22"/>
        </w:rPr>
        <w:t>l’operatore economico è in regola con le norme che disciplinano il diritto al lavoro dei disabili poiché ha ottemperato alle disposizioni contenute nella Legge 68/99 o __________________(indicare la   Legge Stato estero). Gli adempimenti sono stati eseguiti presso l’Ufficio _________________________di _________________, Via ________________________n. ___________ fax _____________ e-mail _____________________________;</w:t>
      </w:r>
    </w:p>
    <w:p w14:paraId="50A4F95A" w14:textId="77777777" w:rsidR="00765120" w:rsidRDefault="00700D25">
      <w:pPr>
        <w:pStyle w:val="Default"/>
        <w:spacing w:before="100"/>
        <w:jc w:val="both"/>
      </w:pPr>
      <w:r>
        <w:rPr>
          <w:rFonts w:ascii="Wingdings, Wingdings" w:eastAsia="Wingdings, Wingdings" w:hAnsi="Wingdings, Wingdings" w:cs="Wingdings, Wingdings"/>
          <w:sz w:val="16"/>
          <w:szCs w:val="16"/>
        </w:rPr>
        <w:t xml:space="preserve"> </w:t>
      </w:r>
      <w:r>
        <w:rPr>
          <w:rFonts w:ascii="Wingdings, Wingdings" w:eastAsia="Wingdings, Wingdings" w:hAnsi="Wingdings, Wingdings" w:cs="Wingdings, Wingdings"/>
          <w:sz w:val="16"/>
          <w:szCs w:val="16"/>
        </w:rPr>
        <w:t></w:t>
      </w:r>
      <w:r>
        <w:rPr>
          <w:sz w:val="22"/>
          <w:szCs w:val="22"/>
        </w:rPr>
        <w:t>l’operatore economico non è soggetto agli obblighi di assunzione obbligatoria previsti dalla Legge 68/99 per i seguenti motivi: [indicare i motivi di esenzione]</w:t>
      </w:r>
    </w:p>
    <w:p w14:paraId="63FEDFC3" w14:textId="77777777" w:rsidR="00765120" w:rsidRDefault="00700D25">
      <w:pPr>
        <w:pStyle w:val="Default"/>
        <w:spacing w:before="100"/>
        <w:ind w:firstLine="170"/>
        <w:jc w:val="both"/>
        <w:rPr>
          <w:sz w:val="22"/>
          <w:szCs w:val="22"/>
        </w:rPr>
      </w:pPr>
      <w:r>
        <w:rPr>
          <w:sz w:val="22"/>
          <w:szCs w:val="22"/>
        </w:rPr>
        <w:t>_________________________________________________________________________</w:t>
      </w:r>
    </w:p>
    <w:p w14:paraId="43DB3586" w14:textId="77777777" w:rsidR="00765120" w:rsidRDefault="00700D25">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in _____________________(Stato estero) non esiste una normativa sull’assunzione obbligatoria dei disabili;</w:t>
      </w:r>
    </w:p>
    <w:p w14:paraId="4BA12EEB" w14:textId="77777777" w:rsidR="00765120" w:rsidRDefault="00700D25">
      <w:pPr>
        <w:pStyle w:val="Default"/>
        <w:spacing w:before="100"/>
        <w:jc w:val="both"/>
      </w:pPr>
      <w:r>
        <w:rPr>
          <w:sz w:val="22"/>
          <w:szCs w:val="22"/>
        </w:rPr>
        <w:t>15.  che l’operatore economico:</w:t>
      </w:r>
    </w:p>
    <w:p w14:paraId="0191D407" w14:textId="77777777" w:rsidR="00765120" w:rsidRDefault="00700D25">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non è stato vittima dei reati previsti e puniti dagli artt. 317 e 629 c.p., aggravati ai sensi dell’art. 7 del       Decreto Legge 13 maggio 1991, n. 152, convertito, con modificazioni, dalla legge 12 luglio 1991 n. 203.</w:t>
      </w:r>
    </w:p>
    <w:p w14:paraId="527FBE2C" w14:textId="77777777" w:rsidR="00765120" w:rsidRDefault="00700D25">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suddetti reati, ma ha denunciato i fatti all’autorità giudiziaria;</w:t>
      </w:r>
    </w:p>
    <w:p w14:paraId="09AF8F95" w14:textId="77777777" w:rsidR="00765120" w:rsidRDefault="00700D25">
      <w:pPr>
        <w:pStyle w:val="Default"/>
        <w:spacing w:before="100" w:after="120"/>
        <w:ind w:right="113"/>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è stato vittima dei reati previsti e puniti dagli artt. 317 e 629 c.p., aggravati ai sensi dell’art. 416-bis del     c .p.   e non ha denunciato i fatti all’autorità giudiziaria, in quanto ricorrono i casi previsti dall’art. 4, 1 comma della Legge 24 novembre 1981, n. 689.</w:t>
      </w:r>
    </w:p>
    <w:p w14:paraId="2F23EDCB" w14:textId="77777777" w:rsidR="00765120" w:rsidRDefault="00700D25">
      <w:pPr>
        <w:pStyle w:val="Default"/>
        <w:tabs>
          <w:tab w:val="left" w:pos="345"/>
        </w:tabs>
        <w:spacing w:before="100"/>
        <w:jc w:val="both"/>
        <w:rPr>
          <w:sz w:val="22"/>
          <w:szCs w:val="22"/>
        </w:rPr>
      </w:pPr>
      <w:r>
        <w:rPr>
          <w:sz w:val="22"/>
          <w:szCs w:val="22"/>
        </w:rPr>
        <w:t>16. (Barrare la casella di interesse)</w:t>
      </w:r>
    </w:p>
    <w:p w14:paraId="10665419" w14:textId="77777777" w:rsidR="00765120" w:rsidRDefault="00700D25">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40B50445" w14:textId="77777777" w:rsidR="00765120" w:rsidRDefault="00700D25">
      <w:pPr>
        <w:pStyle w:val="Default"/>
        <w:spacing w:before="100"/>
        <w:jc w:val="both"/>
        <w:rPr>
          <w:sz w:val="22"/>
          <w:szCs w:val="22"/>
        </w:rPr>
      </w:pPr>
      <w:r>
        <w:rPr>
          <w:sz w:val="22"/>
          <w:szCs w:val="22"/>
        </w:rPr>
        <w:t>Ovvero</w:t>
      </w:r>
    </w:p>
    <w:p w14:paraId="7B71A5F3" w14:textId="77777777" w:rsidR="00765120" w:rsidRDefault="00700D25">
      <w:pPr>
        <w:pStyle w:val="Default"/>
        <w:spacing w:before="100" w:after="12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51F86824" w14:textId="77777777" w:rsidR="00765120" w:rsidRDefault="00700D25">
      <w:pPr>
        <w:pStyle w:val="Default"/>
        <w:spacing w:before="100" w:after="120"/>
        <w:jc w:val="both"/>
        <w:rPr>
          <w:sz w:val="22"/>
          <w:szCs w:val="22"/>
        </w:rPr>
      </w:pPr>
      <w:r>
        <w:rPr>
          <w:sz w:val="22"/>
          <w:szCs w:val="22"/>
        </w:rPr>
        <w:t>Ovvero</w:t>
      </w:r>
    </w:p>
    <w:p w14:paraId="41C01980" w14:textId="77777777" w:rsidR="00765120" w:rsidRDefault="00700D25">
      <w:pPr>
        <w:pStyle w:val="Default"/>
        <w:spacing w:before="100"/>
        <w:jc w:val="both"/>
      </w:pPr>
      <w:r>
        <w:rPr>
          <w:rFonts w:ascii="Wingdings, Wingdings" w:eastAsia="Wingdings, Wingdings" w:hAnsi="Wingdings, Wingdings" w:cs="Wingdings, Wingdings"/>
          <w:sz w:val="16"/>
          <w:szCs w:val="16"/>
        </w:rPr>
        <w:t></w:t>
      </w:r>
      <w:r>
        <w:rPr>
          <w:rFonts w:ascii="Wingdings, Wingdings" w:eastAsia="Wingdings, Wingdings" w:hAnsi="Wingdings, Wingdings" w:cs="Wingdings, Wingdings"/>
          <w:sz w:val="16"/>
          <w:szCs w:val="16"/>
        </w:rPr>
        <w:t></w:t>
      </w:r>
      <w:r>
        <w:rPr>
          <w:sz w:val="22"/>
          <w:szCs w:val="22"/>
        </w:rPr>
        <w:t>che l’operatore economico è a conoscenza della partecipazione alla medesima procedura di soggetti che si trovano, rispetto ad essa, in una delle situazioni di controllo di cui all'articolo 2359 c.c. o in una qualsiasi relazione, anche di fatto con alcun soggetto, se la situazione di controllo o la relazione comporti che le offerte sono imputabili ad un unico centro decisionale del codice civile, e di aver formulato autonomamente l'offerta.</w:t>
      </w:r>
    </w:p>
    <w:p w14:paraId="019F16F9" w14:textId="77777777" w:rsidR="00765120" w:rsidRDefault="00765120">
      <w:pPr>
        <w:pStyle w:val="Default"/>
        <w:spacing w:before="100"/>
        <w:ind w:firstLine="170"/>
        <w:jc w:val="both"/>
        <w:rPr>
          <w:sz w:val="22"/>
          <w:szCs w:val="22"/>
        </w:rPr>
      </w:pPr>
    </w:p>
    <w:p w14:paraId="4F410F45" w14:textId="77777777" w:rsidR="00765120" w:rsidRDefault="00700D25">
      <w:pPr>
        <w:pStyle w:val="Default"/>
        <w:spacing w:before="100"/>
        <w:jc w:val="both"/>
        <w:rPr>
          <w:sz w:val="22"/>
          <w:szCs w:val="22"/>
        </w:rPr>
      </w:pPr>
      <w:r>
        <w:rPr>
          <w:sz w:val="22"/>
          <w:szCs w:val="22"/>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14:paraId="0DF3A87B" w14:textId="77777777" w:rsidR="00765120" w:rsidRDefault="00765120">
      <w:pPr>
        <w:pStyle w:val="Default"/>
        <w:ind w:firstLine="170"/>
        <w:jc w:val="both"/>
        <w:rPr>
          <w:sz w:val="22"/>
          <w:szCs w:val="22"/>
        </w:rPr>
      </w:pPr>
    </w:p>
    <w:p w14:paraId="57933087" w14:textId="77777777" w:rsidR="00765120" w:rsidRDefault="00765120">
      <w:pPr>
        <w:pStyle w:val="Default"/>
        <w:jc w:val="both"/>
        <w:rPr>
          <w:sz w:val="22"/>
          <w:szCs w:val="22"/>
        </w:rPr>
      </w:pPr>
    </w:p>
    <w:p w14:paraId="44B98D93" w14:textId="77777777" w:rsidR="00765120" w:rsidRDefault="00700D25">
      <w:pPr>
        <w:pStyle w:val="Default"/>
        <w:jc w:val="both"/>
        <w:rPr>
          <w:sz w:val="22"/>
          <w:szCs w:val="22"/>
        </w:rPr>
      </w:pPr>
      <w:r>
        <w:rPr>
          <w:sz w:val="22"/>
          <w:szCs w:val="22"/>
        </w:rPr>
        <w:t>__________________________, lì ________________</w:t>
      </w:r>
    </w:p>
    <w:p w14:paraId="1D7914C6" w14:textId="77777777" w:rsidR="00765120" w:rsidRDefault="00700D25">
      <w:pPr>
        <w:pStyle w:val="Default"/>
        <w:jc w:val="both"/>
      </w:pPr>
      <w:r>
        <w:rPr>
          <w:sz w:val="22"/>
          <w:szCs w:val="22"/>
        </w:rPr>
        <w:t>luogo (</w:t>
      </w:r>
      <w:r>
        <w:rPr>
          <w:i/>
          <w:iCs/>
          <w:sz w:val="22"/>
          <w:szCs w:val="22"/>
        </w:rPr>
        <w:t>data</w:t>
      </w:r>
      <w:r>
        <w:rPr>
          <w:sz w:val="22"/>
          <w:szCs w:val="22"/>
        </w:rPr>
        <w:t>)</w:t>
      </w:r>
    </w:p>
    <w:p w14:paraId="491EB7A3" w14:textId="77777777" w:rsidR="00765120" w:rsidRDefault="00700D25">
      <w:pPr>
        <w:pStyle w:val="Default"/>
        <w:jc w:val="both"/>
        <w:rPr>
          <w:sz w:val="22"/>
          <w:szCs w:val="22"/>
        </w:rPr>
      </w:pPr>
      <w:r>
        <w:rPr>
          <w:sz w:val="22"/>
          <w:szCs w:val="22"/>
        </w:rPr>
        <w:t>_______________________</w:t>
      </w:r>
    </w:p>
    <w:p w14:paraId="3A77BB89" w14:textId="77777777" w:rsidR="00765120" w:rsidRDefault="00700D25">
      <w:pPr>
        <w:pStyle w:val="Default"/>
        <w:jc w:val="both"/>
      </w:pPr>
      <w:r>
        <w:rPr>
          <w:sz w:val="22"/>
          <w:szCs w:val="22"/>
        </w:rPr>
        <w:t>(F</w:t>
      </w:r>
      <w:r>
        <w:rPr>
          <w:i/>
          <w:iCs/>
          <w:sz w:val="22"/>
          <w:szCs w:val="22"/>
        </w:rPr>
        <w:t>irma del dichiarante</w:t>
      </w:r>
      <w:r>
        <w:rPr>
          <w:sz w:val="22"/>
          <w:szCs w:val="22"/>
        </w:rPr>
        <w:t>)</w:t>
      </w:r>
    </w:p>
    <w:p w14:paraId="1E625003" w14:textId="77777777" w:rsidR="00765120" w:rsidRDefault="00765120">
      <w:pPr>
        <w:pStyle w:val="Default"/>
        <w:jc w:val="both"/>
        <w:rPr>
          <w:b/>
          <w:bCs/>
          <w:sz w:val="22"/>
          <w:szCs w:val="22"/>
        </w:rPr>
      </w:pPr>
    </w:p>
    <w:p w14:paraId="3CA44361" w14:textId="77777777" w:rsidR="00765120" w:rsidRDefault="00765120">
      <w:pPr>
        <w:pStyle w:val="Default"/>
        <w:jc w:val="both"/>
        <w:rPr>
          <w:b/>
          <w:bCs/>
          <w:sz w:val="22"/>
          <w:szCs w:val="22"/>
        </w:rPr>
      </w:pPr>
    </w:p>
    <w:p w14:paraId="04B9B43D" w14:textId="77777777" w:rsidR="00765120" w:rsidRDefault="00700D25">
      <w:pPr>
        <w:pStyle w:val="Default"/>
        <w:jc w:val="both"/>
        <w:rPr>
          <w:b/>
          <w:bCs/>
          <w:sz w:val="22"/>
          <w:szCs w:val="22"/>
        </w:rPr>
      </w:pPr>
      <w:r>
        <w:rPr>
          <w:b/>
          <w:bCs/>
          <w:sz w:val="22"/>
          <w:szCs w:val="22"/>
        </w:rPr>
        <w:t>Allegata fotocopia del documento di riconoscimento</w:t>
      </w:r>
    </w:p>
    <w:p w14:paraId="63442D06" w14:textId="77777777" w:rsidR="00765120" w:rsidRDefault="00765120">
      <w:pPr>
        <w:pStyle w:val="Default"/>
        <w:jc w:val="both"/>
        <w:rPr>
          <w:b/>
          <w:bCs/>
          <w:sz w:val="22"/>
          <w:szCs w:val="22"/>
        </w:rPr>
      </w:pPr>
    </w:p>
    <w:p w14:paraId="4980271B" w14:textId="77777777" w:rsidR="00765120" w:rsidRDefault="00765120">
      <w:pPr>
        <w:widowControl/>
        <w:suppressAutoHyphens w:val="0"/>
        <w:jc w:val="both"/>
        <w:textAlignment w:val="auto"/>
        <w:rPr>
          <w:rFonts w:ascii="Calibri" w:eastAsia="Times New Roman" w:hAnsi="Calibri" w:cs="Times New Roman"/>
          <w:i/>
          <w:iCs/>
          <w:kern w:val="0"/>
          <w:sz w:val="20"/>
          <w:szCs w:val="20"/>
          <w:lang w:val="it-IT" w:eastAsia="it-IT" w:bidi="ar-SA"/>
        </w:rPr>
      </w:pPr>
    </w:p>
    <w:tbl>
      <w:tblPr>
        <w:tblW w:w="10489" w:type="dxa"/>
        <w:tblInd w:w="-416" w:type="dxa"/>
        <w:tblCellMar>
          <w:left w:w="10" w:type="dxa"/>
          <w:right w:w="10" w:type="dxa"/>
        </w:tblCellMar>
        <w:tblLook w:val="0000" w:firstRow="0" w:lastRow="0" w:firstColumn="0" w:lastColumn="0" w:noHBand="0" w:noVBand="0"/>
      </w:tblPr>
      <w:tblGrid>
        <w:gridCol w:w="10489"/>
      </w:tblGrid>
      <w:tr w:rsidR="00765120" w14:paraId="582D1762" w14:textId="77777777">
        <w:tc>
          <w:tcPr>
            <w:tcW w:w="10489" w:type="dxa"/>
            <w:shd w:val="clear" w:color="auto" w:fill="auto"/>
            <w:tcMar>
              <w:top w:w="15" w:type="dxa"/>
              <w:left w:w="15" w:type="dxa"/>
              <w:bottom w:w="15" w:type="dxa"/>
              <w:right w:w="15" w:type="dxa"/>
            </w:tcMar>
            <w:vAlign w:val="center"/>
          </w:tcPr>
          <w:p w14:paraId="54690E2D" w14:textId="77777777" w:rsidR="00765120" w:rsidRDefault="00700D25">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xml:space="preserve">Nota: </w:t>
            </w:r>
          </w:p>
          <w:p w14:paraId="5D51A63E" w14:textId="77777777" w:rsidR="00765120" w:rsidRDefault="00700D25">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xml:space="preserve">Ai sensi </w:t>
            </w:r>
            <w:r>
              <w:rPr>
                <w:rFonts w:ascii="Calibri" w:eastAsia="Times New Roman" w:hAnsi="Calibri" w:cs="Times New Roman"/>
                <w:i/>
                <w:iCs/>
                <w:kern w:val="0"/>
                <w:sz w:val="20"/>
                <w:szCs w:val="20"/>
                <w:lang w:val="it-IT" w:eastAsia="it-IT" w:bidi="ar-SA"/>
              </w:rPr>
              <w:t>dell’art. 96 del D.Lgs. 36/2023, le Stazioni Appaltanti escludono un operatore economico in qualunque momento della procedura d’appalto, qualora risulti che questi si trovi, a causa di atti compiuti od omessi prima o nel corso della procedura, in una delle situazioni che costituiscono causa di esclusione ai sensi degli artt. 94 e 95 del codice dei Contratti Pubblici. L’operatore economico che si trovi in una delle situazioni suddette, ad eccezione dei casi in cui abbia commesso gravi violazioni definitivame</w:t>
            </w:r>
            <w:r>
              <w:rPr>
                <w:rFonts w:ascii="Calibri" w:eastAsia="Times New Roman" w:hAnsi="Calibri" w:cs="Times New Roman"/>
                <w:i/>
                <w:iCs/>
                <w:kern w:val="0"/>
                <w:sz w:val="20"/>
                <w:szCs w:val="20"/>
                <w:lang w:val="it-IT" w:eastAsia="it-IT" w:bidi="ar-SA"/>
              </w:rPr>
              <w:t>nte accertate ai sensi dell’art. 94, comma 6 e/o non definitivamente accertate ai sensi dell’art. 95, comma 2, non è escluso:</w:t>
            </w:r>
          </w:p>
          <w:p w14:paraId="206386D2" w14:textId="77777777" w:rsidR="00765120" w:rsidRDefault="00700D25">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-se la causa di esclusione si è verificata prima della presentazione dell’offerta, contestualmente all’offerta, la comunichi alla stazione appaltante e, alternativamente:</w:t>
            </w:r>
          </w:p>
          <w:p w14:paraId="2537E827" w14:textId="77777777" w:rsidR="00765120" w:rsidRDefault="00700D25">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di avere adottato le misure sufficienti a dimostrare la sua affidabilità;</w:t>
            </w:r>
          </w:p>
          <w:p w14:paraId="6CD1ED0B" w14:textId="77777777" w:rsidR="00765120" w:rsidRDefault="00700D25">
            <w:pPr>
              <w:pStyle w:val="Paragrafoelenco"/>
              <w:widowControl/>
              <w:numPr>
                <w:ilvl w:val="0"/>
                <w:numId w:val="3"/>
              </w:numPr>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comprovi l’impossibilità di adottare tali misure prima della presentazione dell’offerta, ottemperando e comunicandole successivamente;</w:t>
            </w:r>
          </w:p>
          <w:p w14:paraId="4C7FA6C5" w14:textId="77777777" w:rsidR="00765120" w:rsidRDefault="00700D25">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 se la causa di esclusione si è verificata successivamente alla presentazione dell’offerta, l’operatore economico adotti e comunichi le misure sufficienti a dimostrare la sua affidabilità.</w:t>
            </w:r>
          </w:p>
          <w:p w14:paraId="582DC36F" w14:textId="77777777" w:rsidR="00765120" w:rsidRDefault="00700D25">
            <w:pPr>
              <w:widowControl/>
              <w:suppressAutoHyphens w:val="0"/>
              <w:spacing w:before="240" w:after="240"/>
              <w:jc w:val="both"/>
              <w:textAlignment w:val="auto"/>
              <w:rPr>
                <w:rFonts w:ascii="Calibri" w:eastAsia="Times New Roman" w:hAnsi="Calibri" w:cs="Times New Roman"/>
                <w:i/>
                <w:iCs/>
                <w:kern w:val="0"/>
                <w:sz w:val="20"/>
                <w:szCs w:val="20"/>
                <w:lang w:val="it-IT" w:eastAsia="it-IT" w:bidi="ar-SA"/>
              </w:rPr>
            </w:pPr>
            <w:r>
              <w:rPr>
                <w:rFonts w:ascii="Calibri" w:eastAsia="Times New Roman" w:hAnsi="Calibri" w:cs="Times New Roman"/>
                <w:i/>
                <w:iCs/>
                <w:kern w:val="0"/>
                <w:sz w:val="20"/>
                <w:szCs w:val="20"/>
                <w:lang w:val="it-IT" w:eastAsia="it-IT" w:bidi="ar-SA"/>
              </w:rPr>
              <w:t>Se le misure adottate dall’operatore economico per dimostrare la propria affidabilità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w:t>
            </w:r>
            <w:r>
              <w:rPr>
                <w:rFonts w:ascii="Calibri" w:eastAsia="Times New Roman" w:hAnsi="Calibri" w:cs="Times New Roman"/>
                <w:i/>
                <w:iCs/>
                <w:kern w:val="0"/>
                <w:sz w:val="20"/>
                <w:szCs w:val="20"/>
                <w:lang w:val="it-IT" w:eastAsia="it-IT" w:bidi="ar-SA"/>
              </w:rPr>
              <w:t>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 Un operatore economico escluso con sentenza definitiva dalla partecipazione alle procedure di appalto o di conce</w:t>
            </w:r>
            <w:r>
              <w:rPr>
                <w:rFonts w:ascii="Calibri" w:eastAsia="Times New Roman" w:hAnsi="Calibri" w:cs="Times New Roman"/>
                <w:i/>
                <w:iCs/>
                <w:kern w:val="0"/>
                <w:sz w:val="20"/>
                <w:szCs w:val="20"/>
                <w:lang w:val="it-IT" w:eastAsia="it-IT" w:bidi="ar-SA"/>
              </w:rPr>
              <w:t>ssione non può avvalersi della possibilità sopra descritta nel corso del periodo di esclusione derivante da tale sentenza.</w:t>
            </w:r>
          </w:p>
          <w:p w14:paraId="6EAF5A6E" w14:textId="77777777" w:rsidR="00765120" w:rsidRDefault="00765120">
            <w:pPr>
              <w:widowControl/>
              <w:suppressAutoHyphens w:val="0"/>
              <w:spacing w:before="240" w:after="240"/>
              <w:jc w:val="both"/>
              <w:textAlignment w:val="auto"/>
              <w:rPr>
                <w:rFonts w:ascii="Calibri" w:eastAsia="Times New Roman" w:hAnsi="Calibri" w:cs="Times New Roman"/>
                <w:kern w:val="0"/>
                <w:sz w:val="20"/>
                <w:szCs w:val="20"/>
                <w:lang w:val="it-IT" w:eastAsia="it-IT" w:bidi="ar-SA"/>
              </w:rPr>
            </w:pPr>
          </w:p>
        </w:tc>
      </w:tr>
    </w:tbl>
    <w:p w14:paraId="54E6FA52" w14:textId="77777777" w:rsidR="00765120" w:rsidRDefault="00765120">
      <w:pPr>
        <w:pStyle w:val="Standard"/>
        <w:spacing w:before="240" w:after="240"/>
        <w:jc w:val="both"/>
        <w:rPr>
          <w:sz w:val="20"/>
          <w:szCs w:val="20"/>
          <w:lang w:val="it-IT"/>
        </w:rPr>
      </w:pPr>
    </w:p>
    <w:sectPr w:rsidR="0076512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E80D2" w14:textId="77777777" w:rsidR="00123AED" w:rsidRDefault="00123AED">
      <w:r>
        <w:separator/>
      </w:r>
    </w:p>
  </w:endnote>
  <w:endnote w:type="continuationSeparator" w:id="0">
    <w:p w14:paraId="31CF7222" w14:textId="77777777" w:rsidR="00123AED" w:rsidRDefault="0012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Calibri">
    <w:altName w:val="Calibri"/>
    <w:charset w:val="00"/>
    <w:family w:val="swiss"/>
    <w:pitch w:val="variable"/>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ingdings">
    <w:altName w:val="Wingdings"/>
    <w:charset w:val="02"/>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B460D" w14:textId="77777777" w:rsidR="00123AED" w:rsidRDefault="00123AED">
      <w:r>
        <w:rPr>
          <w:color w:val="000000"/>
        </w:rPr>
        <w:separator/>
      </w:r>
    </w:p>
  </w:footnote>
  <w:footnote w:type="continuationSeparator" w:id="0">
    <w:p w14:paraId="183837BA" w14:textId="77777777" w:rsidR="00123AED" w:rsidRDefault="00123AED">
      <w:r>
        <w:continuationSeparator/>
      </w:r>
    </w:p>
  </w:footnote>
  <w:footnote w:id="1">
    <w:p w14:paraId="7AD7D17A" w14:textId="77777777" w:rsidR="00765120" w:rsidRDefault="00700D25">
      <w:pPr>
        <w:pStyle w:val="NormaleWeb"/>
        <w:jc w:val="both"/>
      </w:pPr>
      <w:r>
        <w:rPr>
          <w:rStyle w:val="Rimandonotaapidipagina"/>
        </w:rPr>
        <w:footnoteRef/>
      </w:r>
      <w:r>
        <w:rPr>
          <w:rFonts w:ascii="Calibri" w:hAnsi="Calibri"/>
          <w:i/>
          <w:iCs/>
          <w:sz w:val="18"/>
          <w:szCs w:val="18"/>
        </w:rPr>
        <w:t xml:space="preserve"> L’esclusione è disposta se la sentenza o il decreto oppure la misura interdittiva ivi indicati sono stati emessi nei confronti</w:t>
      </w:r>
      <w:r>
        <w:t>:</w:t>
      </w:r>
    </w:p>
    <w:p w14:paraId="448C2796" w14:textId="77777777" w:rsidR="00765120" w:rsidRDefault="00700D25">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dell’operatore economico ai sensi e nei termini di cui al decreto legislativo 8 giugno 2001, n. 231;</w:t>
      </w:r>
    </w:p>
    <w:p w14:paraId="4FD77F7B" w14:textId="77777777" w:rsidR="00765120" w:rsidRDefault="00700D25">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 xml:space="preserve">del titolare o del </w:t>
      </w:r>
      <w:r>
        <w:rPr>
          <w:rFonts w:ascii="Calibri" w:eastAsia="Times New Roman" w:hAnsi="Calibri" w:cs="Times New Roman"/>
          <w:i/>
          <w:iCs/>
          <w:kern w:val="0"/>
          <w:sz w:val="18"/>
          <w:szCs w:val="18"/>
          <w:lang w:val="it-IT" w:eastAsia="it-IT" w:bidi="ar-SA"/>
        </w:rPr>
        <w:t>direttore tecnico, se si tratta di impresa individuale;</w:t>
      </w:r>
    </w:p>
    <w:p w14:paraId="1942714B" w14:textId="77777777" w:rsidR="00765120" w:rsidRDefault="00700D25">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di un socio amministratore o del direttore tecnico, se si tratta di società in nome collettivo;</w:t>
      </w:r>
    </w:p>
    <w:p w14:paraId="25011B65" w14:textId="77777777" w:rsidR="00765120" w:rsidRDefault="00700D25">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soci accomandatari o del direttore tecnico, se si tratta di società in accomandita semplice;</w:t>
      </w:r>
    </w:p>
    <w:p w14:paraId="3684C0AB" w14:textId="77777777" w:rsidR="00765120" w:rsidRDefault="00700D25">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membri del consiglio di amministrazione cui sia stata conferita la legale rappresentanza, ivi compresi gli institori e i procuratori generali;</w:t>
      </w:r>
    </w:p>
    <w:p w14:paraId="1DE024D5" w14:textId="77777777" w:rsidR="00765120" w:rsidRDefault="00700D25">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dei componenti degli organi con poteri di direzione o di vigilanza o dei soggetti muniti di poteri di rappresentanza, di direzione o di controllo;</w:t>
      </w:r>
    </w:p>
    <w:p w14:paraId="3AF1C882" w14:textId="77777777" w:rsidR="00765120" w:rsidRDefault="00700D25">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 direttore tecnico o del socio unico;</w:t>
      </w:r>
    </w:p>
    <w:p w14:paraId="68A607DA" w14:textId="77777777" w:rsidR="00765120" w:rsidRDefault="00700D25">
      <w:pPr>
        <w:widowControl/>
        <w:numPr>
          <w:ilvl w:val="0"/>
          <w:numId w:val="1"/>
        </w:numPr>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dell’amministratore di fatto nelle ipotesi di cui alle lettere precedenti.</w:t>
      </w:r>
    </w:p>
    <w:p w14:paraId="4488343A" w14:textId="77777777" w:rsidR="00765120" w:rsidRDefault="00700D25">
      <w:pPr>
        <w:widowControl/>
        <w:suppressAutoHyphens w:val="0"/>
        <w:spacing w:before="100" w:after="100"/>
        <w:jc w:val="both"/>
        <w:textAlignment w:val="auto"/>
        <w:rPr>
          <w:rFonts w:ascii="Calibri" w:eastAsia="Times New Roman" w:hAnsi="Calibri" w:cs="Times New Roman"/>
          <w:i/>
          <w:iCs/>
          <w:kern w:val="0"/>
          <w:sz w:val="18"/>
          <w:szCs w:val="18"/>
          <w:lang w:val="it-IT" w:eastAsia="it-IT" w:bidi="ar-SA"/>
        </w:rPr>
      </w:pPr>
      <w:r>
        <w:rPr>
          <w:rFonts w:ascii="Calibri" w:eastAsia="Times New Roman" w:hAnsi="Calibri" w:cs="Times New Roman"/>
          <w:i/>
          <w:iCs/>
          <w:kern w:val="0"/>
          <w:sz w:val="18"/>
          <w:szCs w:val="18"/>
          <w:lang w:val="it-IT" w:eastAsia="it-IT" w:bidi="ar-SA"/>
        </w:rPr>
        <w:t>Nel caso in cui il socio sia una persona giuridica l’esclusione va disposta se la sentenza o il decreto ovvero la misura interdittiva sono stati emessi nei confronti degli amministratori di quest’ultima.</w:t>
      </w:r>
    </w:p>
  </w:footnote>
  <w:footnote w:id="2">
    <w:p w14:paraId="38485C7A" w14:textId="77777777" w:rsidR="00765120" w:rsidRDefault="00700D25">
      <w:pPr>
        <w:pStyle w:val="Testonotaapidipagina"/>
        <w:jc w:val="both"/>
      </w:pPr>
      <w:r>
        <w:rPr>
          <w:rStyle w:val="Rimandonotaapidipagina"/>
        </w:rPr>
        <w:footnoteRef/>
      </w:r>
      <w:r>
        <w:rPr>
          <w:rFonts w:ascii="Calibri" w:hAnsi="Calibri"/>
          <w:i/>
          <w:iCs/>
          <w:sz w:val="18"/>
          <w:szCs w:val="18"/>
          <w:lang w:val="it-IT"/>
        </w:rPr>
        <w:t>Costituiscono gravi violazioni quelle che comportano un omesso pagamento di imposte e tasse superiore all’importo di cui all’art. 48-bis, commi 1 e 2-bis, del decreto del Presidente della Repubblica 29 settembre 1973, n. 602. Costituiscono violazioni definitivamente accertate   quelle contenute in sentenze o atti amministrativi in materia contributiva e previdenziale, quelle ostative al rilascio del Documento Unico di Regolarità Contributiva (DURC), di cui al decreto del Ministero del lavoro e delle politic</w:t>
      </w:r>
      <w:r>
        <w:rPr>
          <w:rFonts w:ascii="Calibri" w:hAnsi="Calibri"/>
          <w:i/>
          <w:iCs/>
          <w:sz w:val="18"/>
          <w:szCs w:val="18"/>
          <w:lang w:val="it-IT"/>
        </w:rPr>
        <w:t>he sociali</w:t>
      </w:r>
    </w:p>
    <w:p w14:paraId="4B109221" w14:textId="77777777" w:rsidR="00765120" w:rsidRDefault="00700D25">
      <w:pPr>
        <w:pStyle w:val="Testonotaapidipagina"/>
        <w:jc w:val="both"/>
      </w:pPr>
      <w:r>
        <w:rPr>
          <w:rFonts w:ascii="Calibri" w:hAnsi="Calibri"/>
          <w:i/>
          <w:iCs/>
          <w:sz w:val="18"/>
          <w:szCs w:val="18"/>
          <w:lang w:val="it-IT"/>
        </w:rPr>
        <w:t xml:space="preserve">30 gennaio 2015, ovvero delle certificazioni rilasciate dagli enti previdenziali di riferimento non aderenti al sistema dello sportello unico previdenziale. La violazione si considera grave quando comporta l’inottemperanza a un obbligo di pagamento di imposte e tasse per un importo che, con esclusione di sanzioni e interessi, è pari o superiore al 10 per cento del valore dell’appalto, tenuto conto del valore del lotto e dei lotti per cui l’operatore economico concorre. </w:t>
      </w:r>
      <w:r>
        <w:rPr>
          <w:rFonts w:ascii="Calibri" w:hAnsi="Calibri"/>
          <w:i/>
          <w:iCs/>
          <w:sz w:val="18"/>
          <w:szCs w:val="18"/>
          <w:u w:val="single"/>
          <w:lang w:val="it-IT"/>
        </w:rPr>
        <w:t>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55C2E5B6" w14:textId="77777777" w:rsidR="00765120" w:rsidRDefault="00765120">
      <w:pPr>
        <w:pStyle w:val="Testonotaapidipagina"/>
        <w:jc w:val="both"/>
        <w:rPr>
          <w:rFonts w:ascii="Calibri" w:hAnsi="Calibri"/>
          <w:i/>
          <w:iCs/>
          <w:sz w:val="18"/>
          <w:szCs w:val="18"/>
          <w:lang w:val="it-IT"/>
        </w:rPr>
      </w:pPr>
    </w:p>
  </w:footnote>
  <w:footnote w:id="3">
    <w:p w14:paraId="30F35C46" w14:textId="77777777" w:rsidR="00765120" w:rsidRDefault="00700D25">
      <w:pPr>
        <w:pStyle w:val="Default"/>
        <w:tabs>
          <w:tab w:val="left" w:pos="844"/>
        </w:tabs>
        <w:ind w:hanging="454"/>
        <w:jc w:val="both"/>
      </w:pPr>
      <w:r>
        <w:rPr>
          <w:rStyle w:val="Rimandonotaapidipagina"/>
        </w:rPr>
        <w:footnoteRef/>
      </w:r>
      <w:r>
        <w:rPr>
          <w:rFonts w:ascii="Calibri" w:hAnsi="Calibri" w:cs="Times New Roman"/>
          <w:i/>
          <w:iCs/>
          <w:sz w:val="18"/>
          <w:szCs w:val="18"/>
        </w:rPr>
        <w:t xml:space="preserve">         Costituiscono gravi violazioni quelle che comportano un omesso pagamento di imposte e tasse superiore all’importo di cui all’art. 48-bis, commi 1 e 2-bis, del decreto del Presidente della Repubblica 29 settembre 1973, n. 602. La gravità va in ogni caso valutata anche tenendo conto del valore dell’appalto. L’esclusione non si applica quando l’operatore economico ha ottemperato ai suoi obblighi pagando o impegnandosi in modo vincolante a pagare le imposte o i contributi previdenziali dovuti, compresi</w:t>
      </w:r>
      <w:r>
        <w:rPr>
          <w:rFonts w:ascii="Calibri" w:hAnsi="Calibri" w:cs="Times New Roman"/>
          <w:i/>
          <w:iCs/>
          <w:sz w:val="18"/>
          <w:szCs w:val="18"/>
        </w:rPr>
        <w:t xml:space="preserve">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327A527" w14:textId="77777777" w:rsidR="00765120" w:rsidRDefault="00765120">
      <w:pPr>
        <w:pStyle w:val="Testonotaapidipagina"/>
        <w:ind w:left="567"/>
        <w:rPr>
          <w:rFonts w:ascii="Calibri" w:hAnsi="Calibri"/>
          <w:lang w:val="it-IT"/>
        </w:rPr>
      </w:pPr>
    </w:p>
  </w:footnote>
  <w:footnote w:id="4">
    <w:p w14:paraId="22F773BB" w14:textId="77777777" w:rsidR="00765120" w:rsidRDefault="00700D25">
      <w:pPr>
        <w:pStyle w:val="NormaleWeb"/>
      </w:pPr>
      <w:r>
        <w:rPr>
          <w:rStyle w:val="Rimandonotaapidipagina"/>
        </w:rPr>
        <w:footnoteRef/>
      </w:r>
      <w:r>
        <w:rPr>
          <w:rFonts w:ascii="Calibri" w:hAnsi="Calibri"/>
          <w:i/>
          <w:iCs/>
          <w:sz w:val="18"/>
          <w:szCs w:val="18"/>
        </w:rPr>
        <w:t>Ai sensi del comma 3 dell’art. 98 del D. Lgs. 36/2023 l’illecito professionale si può desumere al verificarsi di almeno uno dei seguenti elementi</w:t>
      </w:r>
      <w:r>
        <w:rPr>
          <w:rFonts w:ascii="Calibri" w:hAnsi="Calibri"/>
          <w:sz w:val="18"/>
          <w:szCs w:val="18"/>
        </w:rPr>
        <w:t>:</w:t>
      </w:r>
    </w:p>
    <w:p w14:paraId="0A1F8702" w14:textId="77777777" w:rsidR="00765120" w:rsidRDefault="00700D25">
      <w:pPr>
        <w:pStyle w:val="NormaleWeb"/>
      </w:pPr>
      <w:r>
        <w:rPr>
          <w:rFonts w:ascii="Calibri" w:hAnsi="Calibri"/>
          <w:i/>
          <w:iCs/>
          <w:sz w:val="18"/>
          <w:szCs w:val="18"/>
        </w:rPr>
        <w:t>a) sanzione esecutiva irrogata dall’Autorità garante della concorrenza e del mercato o da altra autorità di settore, rilevante in relazione all’oggetto specifico dell’appalto;</w:t>
      </w:r>
      <w:r>
        <w:rPr>
          <w:rFonts w:ascii="Calibri" w:hAnsi="Calibri"/>
          <w:i/>
          <w:iCs/>
          <w:sz w:val="18"/>
          <w:szCs w:val="18"/>
        </w:rPr>
        <w:b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Pr>
          <w:rFonts w:ascii="Calibri" w:hAnsi="Calibri"/>
          <w:i/>
          <w:iCs/>
          <w:sz w:val="18"/>
          <w:szCs w:val="18"/>
        </w:rPr>
        <w:br/>
        <w:t>c) condotta dell'operatore economico che abbia dimostrato significative o persistenti carenze nell'esecuzione di un precedente contratto di appalto o</w:t>
      </w:r>
      <w:r>
        <w:rPr>
          <w:rFonts w:ascii="Calibri" w:hAnsi="Calibri"/>
          <w:i/>
          <w:iCs/>
          <w:sz w:val="18"/>
          <w:szCs w:val="18"/>
        </w:rPr>
        <w:t xml:space="preserve"> di concessione che ne hanno causato la risoluzione per inadempimento oppure la condanna al risarcimento del danno o altre sanzioni comparabili, derivanti da inadempienze particolarmente gravi o la cui ripetizione sia indice di una persistente carenza professionale;</w:t>
      </w:r>
      <w:r>
        <w:rPr>
          <w:rFonts w:ascii="Calibri" w:hAnsi="Calibri"/>
          <w:i/>
          <w:iCs/>
          <w:sz w:val="18"/>
          <w:szCs w:val="18"/>
        </w:rPr>
        <w:br/>
        <w:t>d) condotta dell'operatore economico che abbia commesso grave inadempimento nei confronti di uno o più subappaltatori;</w:t>
      </w:r>
      <w:r>
        <w:rPr>
          <w:rFonts w:ascii="Calibri" w:hAnsi="Calibri"/>
          <w:i/>
          <w:iCs/>
          <w:sz w:val="18"/>
          <w:szCs w:val="18"/>
        </w:rPr>
        <w:br/>
        <w:t>e) condotta dell'operatore economico che abbia violato il divieto di intestazione fiduciaria di cui all'</w:t>
      </w:r>
      <w:hyperlink r:id="rId1" w:anchor="17" w:history="1">
        <w:r>
          <w:rPr>
            <w:rStyle w:val="Collegamentoipertestuale"/>
            <w:rFonts w:ascii="Calibri" w:hAnsi="Calibri"/>
            <w:i/>
            <w:iCs/>
            <w:color w:val="auto"/>
            <w:sz w:val="18"/>
            <w:szCs w:val="18"/>
            <w:u w:val="none"/>
          </w:rPr>
          <w:t>articolo 17 della legge 19 marzo 1990, n. 55</w:t>
        </w:r>
      </w:hyperlink>
      <w:r>
        <w:rPr>
          <w:rFonts w:ascii="Calibri" w:hAnsi="Calibri"/>
          <w:i/>
          <w:iCs/>
          <w:sz w:val="18"/>
          <w:szCs w:val="18"/>
        </w:rPr>
        <w:t>, laddove la violazione non sia stata rimossa;</w:t>
      </w:r>
      <w:r>
        <w:rPr>
          <w:rFonts w:ascii="Calibri" w:hAnsi="Calibri"/>
          <w:i/>
          <w:iCs/>
          <w:sz w:val="18"/>
          <w:szCs w:val="18"/>
        </w:rPr>
        <w:br/>
        <w:t xml:space="preserve">f) omessa denuncia all'autorità giudiziaria da parte dell'operatore economico persona offesa dei reati previsti e puniti dagli </w:t>
      </w:r>
      <w:hyperlink r:id="rId2" w:anchor="317" w:history="1">
        <w:r>
          <w:rPr>
            <w:rStyle w:val="Collegamentoipertestuale"/>
            <w:rFonts w:ascii="Calibri" w:hAnsi="Calibri"/>
            <w:i/>
            <w:iCs/>
            <w:color w:val="auto"/>
            <w:sz w:val="18"/>
            <w:szCs w:val="18"/>
            <w:u w:val="none"/>
          </w:rPr>
          <w:t>articoli 317</w:t>
        </w:r>
      </w:hyperlink>
      <w:r>
        <w:rPr>
          <w:rFonts w:ascii="Calibri" w:hAnsi="Calibri"/>
          <w:i/>
          <w:iCs/>
          <w:sz w:val="18"/>
          <w:szCs w:val="18"/>
        </w:rPr>
        <w:t xml:space="preserve"> e </w:t>
      </w:r>
      <w:hyperlink r:id="rId3" w:anchor="629" w:history="1">
        <w:r>
          <w:rPr>
            <w:rStyle w:val="Collegamentoipertestuale"/>
            <w:rFonts w:ascii="Calibri" w:hAnsi="Calibri"/>
            <w:i/>
            <w:iCs/>
            <w:color w:val="auto"/>
            <w:sz w:val="18"/>
            <w:szCs w:val="18"/>
            <w:u w:val="none"/>
          </w:rPr>
          <w:t>629 del codice penal</w:t>
        </w:r>
      </w:hyperlink>
      <w:r>
        <w:rPr>
          <w:rFonts w:ascii="Calibri" w:hAnsi="Calibri"/>
          <w:i/>
          <w:iCs/>
          <w:sz w:val="18"/>
          <w:szCs w:val="18"/>
        </w:rPr>
        <w:t>e aggravati ai sensi dell’</w:t>
      </w:r>
      <w:hyperlink r:id="rId4" w:anchor="416-bis.1" w:history="1">
        <w:r>
          <w:rPr>
            <w:rStyle w:val="Collegamentoipertestuale"/>
            <w:rFonts w:ascii="Calibri" w:hAnsi="Calibri"/>
            <w:i/>
            <w:iCs/>
            <w:color w:val="auto"/>
            <w:sz w:val="18"/>
            <w:szCs w:val="18"/>
            <w:u w:val="none"/>
          </w:rPr>
          <w:t>articolo 416-bis.1 del medesimo codice</w:t>
        </w:r>
      </w:hyperlink>
      <w:r>
        <w:rPr>
          <w:rFonts w:ascii="Calibri" w:hAnsi="Calibri"/>
          <w:i/>
          <w:iCs/>
          <w:sz w:val="18"/>
          <w:szCs w:val="18"/>
        </w:rPr>
        <w:t xml:space="preserve"> salvo che ricorrano i casi previsti dall'</w:t>
      </w:r>
      <w:hyperlink r:id="rId5" w:anchor="004" w:history="1">
        <w:r>
          <w:rPr>
            <w:rStyle w:val="Collegamentoipertestuale"/>
            <w:rFonts w:ascii="Calibri" w:hAnsi="Calibri"/>
            <w:i/>
            <w:iCs/>
            <w:color w:val="auto"/>
            <w:sz w:val="18"/>
            <w:szCs w:val="18"/>
            <w:u w:val="none"/>
          </w:rPr>
          <w:t>articolo 4, primo comma, della legge 24 novembre 1981, n. 689</w:t>
        </w:r>
      </w:hyperlink>
      <w:r>
        <w:rPr>
          <w:rFonts w:ascii="Calibri" w:hAnsi="Calibri"/>
          <w:i/>
          <w:iCs/>
          <w:sz w:val="18"/>
          <w:szCs w:val="18"/>
        </w:rPr>
        <w:t>.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r>
        <w:rPr>
          <w:rFonts w:ascii="Calibri" w:hAnsi="Calibri"/>
          <w:i/>
          <w:iCs/>
          <w:sz w:val="18"/>
          <w:szCs w:val="18"/>
        </w:rPr>
        <w:br/>
        <w:t xml:space="preserve">g) contestata commissione da parte dell’operatore economico, ovvero dei soggetti di cui al </w:t>
      </w:r>
      <w:hyperlink r:id="rId6"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xml:space="preserve"> di taluno dei reati consumati o tentati di cui al </w:t>
      </w:r>
      <w:hyperlink r:id="rId7" w:anchor="094" w:history="1">
        <w:r>
          <w:rPr>
            <w:rStyle w:val="Collegamentoipertestuale"/>
            <w:rFonts w:ascii="Calibri" w:hAnsi="Calibri"/>
            <w:i/>
            <w:iCs/>
            <w:color w:val="auto"/>
            <w:sz w:val="18"/>
            <w:szCs w:val="18"/>
            <w:u w:val="none"/>
          </w:rPr>
          <w:t>comma 1 del medesimo articolo 94;</w:t>
        </w:r>
      </w:hyperlink>
      <w:r>
        <w:rPr>
          <w:rFonts w:ascii="Calibri" w:hAnsi="Calibri"/>
          <w:i/>
          <w:iCs/>
          <w:sz w:val="18"/>
          <w:szCs w:val="18"/>
        </w:rPr>
        <w:br/>
        <w:t xml:space="preserve">h) contestata o accertata commissione, da parte dell’operatore economico oppure dei soggetti di cui al </w:t>
      </w:r>
      <w:hyperlink r:id="rId8" w:anchor="094" w:history="1">
        <w:r>
          <w:rPr>
            <w:rStyle w:val="Collegamentoipertestuale"/>
            <w:rFonts w:ascii="Calibri" w:hAnsi="Calibri"/>
            <w:i/>
            <w:iCs/>
            <w:color w:val="auto"/>
            <w:sz w:val="18"/>
            <w:szCs w:val="18"/>
            <w:u w:val="none"/>
          </w:rPr>
          <w:t>comma 3 dell’articolo 94</w:t>
        </w:r>
      </w:hyperlink>
      <w:r>
        <w:rPr>
          <w:rFonts w:ascii="Calibri" w:hAnsi="Calibri"/>
          <w:i/>
          <w:iCs/>
          <w:sz w:val="18"/>
          <w:szCs w:val="18"/>
        </w:rPr>
        <w:t>, di taluno dei seguenti reati consumati:</w:t>
      </w:r>
    </w:p>
    <w:p w14:paraId="768B1970" w14:textId="77777777" w:rsidR="00765120" w:rsidRDefault="00700D25">
      <w:pPr>
        <w:pStyle w:val="NormaleWeb"/>
      </w:pPr>
      <w:r>
        <w:rPr>
          <w:rFonts w:ascii="Calibri" w:hAnsi="Calibri"/>
          <w:i/>
          <w:iCs/>
          <w:sz w:val="18"/>
          <w:szCs w:val="18"/>
        </w:rPr>
        <w:t>1) abusivo esercizio di una professione, ai sensi dell’</w:t>
      </w:r>
      <w:hyperlink r:id="rId9" w:anchor="348" w:history="1">
        <w:r>
          <w:rPr>
            <w:rStyle w:val="Collegamentoipertestuale"/>
            <w:rFonts w:ascii="Calibri" w:hAnsi="Calibri"/>
            <w:i/>
            <w:iCs/>
            <w:color w:val="auto"/>
            <w:sz w:val="18"/>
            <w:szCs w:val="18"/>
            <w:u w:val="none"/>
          </w:rPr>
          <w:t>articolo 348 del codice penale</w:t>
        </w:r>
      </w:hyperlink>
      <w:r>
        <w:rPr>
          <w:rFonts w:ascii="Calibri" w:hAnsi="Calibri"/>
          <w:i/>
          <w:iCs/>
          <w:sz w:val="18"/>
          <w:szCs w:val="18"/>
        </w:rPr>
        <w:t>;</w:t>
      </w:r>
      <w:r>
        <w:rPr>
          <w:rFonts w:ascii="Calibri" w:hAnsi="Calibri"/>
          <w:i/>
          <w:iCs/>
          <w:sz w:val="18"/>
          <w:szCs w:val="18"/>
        </w:rPr>
        <w:br/>
        <w:t>2) bancarotta semplice, bancarotta fraudolenta, omessa dichiarazione di beni da comprendere nell’inventario fallimentare o ricorso abusivo al credito, di cui agli articoli 216, 217, 218 e 220 del regio decreto 16 marzo 1942, n. 267;</w:t>
      </w:r>
      <w:r>
        <w:rPr>
          <w:rFonts w:ascii="Calibri" w:hAnsi="Calibri"/>
          <w:i/>
          <w:iCs/>
          <w:sz w:val="18"/>
          <w:szCs w:val="18"/>
        </w:rPr>
        <w:br/>
        <w:t xml:space="preserve">3) i reati tributari ai sensi del decreto legislativo 10 marzo 2000, n. 74, i delitti societari di cui agli </w:t>
      </w:r>
      <w:hyperlink r:id="rId10" w:anchor="2621" w:history="1">
        <w:r>
          <w:rPr>
            <w:rStyle w:val="Collegamentoipertestuale"/>
            <w:rFonts w:ascii="Calibri" w:hAnsi="Calibri"/>
            <w:i/>
            <w:iCs/>
            <w:color w:val="auto"/>
            <w:sz w:val="18"/>
            <w:szCs w:val="18"/>
            <w:u w:val="none"/>
          </w:rPr>
          <w:t>articoli 2621 e seguenti del codice civile</w:t>
        </w:r>
      </w:hyperlink>
      <w:r>
        <w:rPr>
          <w:rFonts w:ascii="Calibri" w:hAnsi="Calibri"/>
          <w:i/>
          <w:iCs/>
          <w:sz w:val="18"/>
          <w:szCs w:val="18"/>
        </w:rPr>
        <w:t xml:space="preserve"> o i delitti contro l’industria e il commercio di cui agli </w:t>
      </w:r>
      <w:hyperlink r:id="rId11" w:anchor="513" w:history="1">
        <w:r>
          <w:rPr>
            <w:rStyle w:val="Collegamentoipertestuale"/>
            <w:rFonts w:ascii="Calibri" w:hAnsi="Calibri"/>
            <w:i/>
            <w:iCs/>
            <w:color w:val="auto"/>
            <w:sz w:val="18"/>
            <w:szCs w:val="18"/>
            <w:u w:val="none"/>
          </w:rPr>
          <w:t>articoli da 513 a 517 del codice penale</w:t>
        </w:r>
      </w:hyperlink>
      <w:r>
        <w:rPr>
          <w:rFonts w:ascii="Calibri" w:hAnsi="Calibri"/>
          <w:i/>
          <w:iCs/>
          <w:sz w:val="18"/>
          <w:szCs w:val="18"/>
        </w:rPr>
        <w:t>;</w:t>
      </w:r>
      <w:r>
        <w:rPr>
          <w:rFonts w:ascii="Calibri" w:hAnsi="Calibri"/>
          <w:i/>
          <w:iCs/>
          <w:sz w:val="18"/>
          <w:szCs w:val="18"/>
        </w:rPr>
        <w:br/>
        <w:t>4) i reati urbanistici di cui all’</w:t>
      </w:r>
      <w:hyperlink r:id="rId12" w:anchor="044" w:history="1">
        <w:r>
          <w:rPr>
            <w:rStyle w:val="Collegamentoipertestuale"/>
            <w:rFonts w:ascii="Calibri" w:hAnsi="Calibri"/>
            <w:i/>
            <w:iCs/>
            <w:color w:val="auto"/>
            <w:sz w:val="18"/>
            <w:szCs w:val="18"/>
            <w:u w:val="none"/>
          </w:rPr>
          <w:t>articolo 44, comma 1, lettere b) e c), del testo unico delle disposizioni legislative e regolamentari in materia di edilizia, di cui al decreto del Presidente della Repubblica 6 giugno 2001, n. 380</w:t>
        </w:r>
      </w:hyperlink>
      <w:r>
        <w:rPr>
          <w:rFonts w:ascii="Calibri" w:hAnsi="Calibri"/>
          <w:i/>
          <w:iCs/>
          <w:sz w:val="18"/>
          <w:szCs w:val="18"/>
        </w:rPr>
        <w:t>, con riferimento agli affidamenti aventi ad oggetto lavori o servizi di architettura e ingegneria;</w:t>
      </w:r>
      <w:r>
        <w:rPr>
          <w:rFonts w:ascii="Calibri" w:hAnsi="Calibri"/>
          <w:i/>
          <w:iCs/>
          <w:sz w:val="18"/>
          <w:szCs w:val="18"/>
        </w:rPr>
        <w:br/>
        <w:t xml:space="preserve">5) i reati previsti dal </w:t>
      </w:r>
      <w:hyperlink r:id="rId13" w:history="1">
        <w:r>
          <w:rPr>
            <w:rStyle w:val="Collegamentoipertestuale"/>
            <w:rFonts w:ascii="Calibri" w:hAnsi="Calibri"/>
            <w:i/>
            <w:iCs/>
            <w:color w:val="auto"/>
            <w:sz w:val="18"/>
            <w:szCs w:val="18"/>
            <w:u w:val="none"/>
          </w:rPr>
          <w:t>decreto legislativo 8 giugno 2001, n. 231</w:t>
        </w:r>
      </w:hyperlink>
      <w:r>
        <w:rPr>
          <w:rFonts w:ascii="Calibri" w:hAnsi="Calibri"/>
          <w:i/>
          <w:iCs/>
          <w:sz w:val="18"/>
          <w:szCs w:val="18"/>
        </w:rPr>
        <w:t xml:space="preserve">. </w:t>
      </w:r>
    </w:p>
    <w:p w14:paraId="515BC2FD" w14:textId="77777777" w:rsidR="00765120" w:rsidRDefault="00700D25">
      <w:pPr>
        <w:pStyle w:val="NormaleWeb"/>
      </w:pPr>
      <w:r>
        <w:rPr>
          <w:rFonts w:ascii="Calibri" w:hAnsi="Calibri"/>
          <w:i/>
          <w:iCs/>
          <w:sz w:val="18"/>
          <w:szCs w:val="18"/>
          <w:u w:val="single"/>
        </w:rPr>
        <w:t>Con riferimento a tali fattispecie di reato, l’esclusione non è disposta e il divieto di aggiudicare non si applica quando:</w:t>
      </w:r>
    </w:p>
    <w:p w14:paraId="485453EE" w14:textId="77777777" w:rsidR="00765120" w:rsidRDefault="00700D25">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depenalizzato;</w:t>
      </w:r>
    </w:p>
    <w:p w14:paraId="66249A24" w14:textId="77777777" w:rsidR="00765120" w:rsidRDefault="00700D25">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è intervenuta la riabilitazione;</w:t>
      </w:r>
    </w:p>
    <w:p w14:paraId="253A3843" w14:textId="77777777" w:rsidR="00765120" w:rsidRDefault="00700D25">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nei casi di condanna a una pena accessoria perpetua, questa è stata dichiarata estinta ai sensi dell’articolo 179, settimo comma, del codice penale;</w:t>
      </w:r>
    </w:p>
    <w:p w14:paraId="458D2C5E" w14:textId="77777777" w:rsidR="00765120" w:rsidRDefault="00700D25">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il reato è stato dichiarato estinto dopo la condanna;</w:t>
      </w:r>
    </w:p>
    <w:p w14:paraId="53EBFDAB" w14:textId="77777777" w:rsidR="00765120" w:rsidRDefault="00700D25">
      <w:pPr>
        <w:widowControl/>
        <w:numPr>
          <w:ilvl w:val="0"/>
          <w:numId w:val="2"/>
        </w:numPr>
        <w:suppressAutoHyphens w:val="0"/>
        <w:spacing w:before="100" w:line="240" w:lineRule="atLeast"/>
        <w:textAlignment w:val="auto"/>
        <w:rPr>
          <w:rFonts w:ascii="Calibri" w:eastAsia="Times New Roman" w:hAnsi="Calibri" w:cs="Times New Roman"/>
          <w:i/>
          <w:iCs/>
          <w:kern w:val="0"/>
          <w:sz w:val="18"/>
          <w:szCs w:val="18"/>
          <w:u w:val="single"/>
          <w:lang w:val="it-IT" w:eastAsia="it-IT" w:bidi="ar-SA"/>
        </w:rPr>
      </w:pPr>
      <w:r>
        <w:rPr>
          <w:rFonts w:ascii="Calibri" w:eastAsia="Times New Roman" w:hAnsi="Calibri" w:cs="Times New Roman"/>
          <w:i/>
          <w:iCs/>
          <w:kern w:val="0"/>
          <w:sz w:val="18"/>
          <w:szCs w:val="18"/>
          <w:u w:val="single"/>
          <w:lang w:val="it-IT" w:eastAsia="it-IT" w:bidi="ar-SA"/>
        </w:rPr>
        <w:t>la condanna è stata revocata.</w:t>
      </w:r>
    </w:p>
    <w:p w14:paraId="1F6F7C10" w14:textId="77777777" w:rsidR="00765120" w:rsidRDefault="00765120">
      <w:pPr>
        <w:pStyle w:val="NormaleWeb"/>
        <w:jc w:val="both"/>
      </w:pPr>
    </w:p>
    <w:p w14:paraId="12F73DB8" w14:textId="77777777" w:rsidR="00765120" w:rsidRDefault="00765120">
      <w:pPr>
        <w:pStyle w:val="Testonotaapidipagina"/>
        <w:spacing w:before="100"/>
        <w:jc w:val="both"/>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70B27"/>
    <w:multiLevelType w:val="multilevel"/>
    <w:tmpl w:val="F61656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2EB92168"/>
    <w:multiLevelType w:val="multilevel"/>
    <w:tmpl w:val="BA5CC9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5556104F"/>
    <w:multiLevelType w:val="multilevel"/>
    <w:tmpl w:val="B3F2B94E"/>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319967569">
    <w:abstractNumId w:val="0"/>
  </w:num>
  <w:num w:numId="2" w16cid:durableId="866480257">
    <w:abstractNumId w:val="1"/>
  </w:num>
  <w:num w:numId="3" w16cid:durableId="921717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120"/>
    <w:rsid w:val="00123AED"/>
    <w:rsid w:val="002854A4"/>
    <w:rsid w:val="00700D25"/>
    <w:rsid w:val="00765120"/>
    <w:rsid w:val="00AD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E826"/>
  <w15:docId w15:val="{273B0F8D-7958-40D4-A771-CFF9FDA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widowControl/>
      <w:suppressAutoHyphens/>
      <w:autoSpaceDE w:val="0"/>
    </w:pPr>
    <w:rPr>
      <w:rFonts w:ascii="Calibri, Calibri" w:eastAsia="Times New Roman" w:hAnsi="Calibri, Calibri" w:cs="Calibri, Calibri"/>
      <w:color w:val="000000"/>
      <w:lang w:val="it-IT" w:bidi="ar-SA"/>
    </w:rPr>
  </w:style>
  <w:style w:type="character" w:customStyle="1" w:styleId="BulletSymbols">
    <w:name w:val="Bullet Symbols"/>
    <w:rPr>
      <w:rFonts w:ascii="OpenSymbol" w:eastAsia="OpenSymbol" w:hAnsi="OpenSymbol" w:cs="OpenSymbol"/>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pPr>
      <w:widowControl/>
      <w:suppressAutoHyphens w:val="0"/>
      <w:spacing w:before="100" w:after="100"/>
      <w:textAlignment w:val="auto"/>
    </w:pPr>
    <w:rPr>
      <w:rFonts w:eastAsia="Times New Roman" w:cs="Times New Roman"/>
      <w:kern w:val="0"/>
      <w:lang w:val="it-IT" w:eastAsia="it-IT" w:bidi="ar-SA"/>
    </w:rPr>
  </w:style>
  <w:style w:type="character" w:styleId="Collegamentoipertestuale">
    <w:name w:val="Hyperlink"/>
    <w:basedOn w:val="Carpredefinitoparagrafo"/>
    <w:rPr>
      <w:color w:val="0000FF"/>
      <w:u w:val="single"/>
    </w:rPr>
  </w:style>
  <w:style w:type="paragraph" w:styleId="Paragrafoelenco">
    <w:name w:val="List Paragraph"/>
    <w:basedOn w:val="Normal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yperlink" Target="https://www.bosettiegatti.eu/info/norme/statali/2001_0231.htm" TargetMode="External"/><Relationship Id="rId3" Type="http://schemas.openxmlformats.org/officeDocument/2006/relationships/hyperlink" Target="https://www.bosettiegatti.eu/info/norme/statali/codicepenale.htm" TargetMode="External"/><Relationship Id="rId7" Type="http://schemas.openxmlformats.org/officeDocument/2006/relationships/hyperlink" Target="https://www.bosettiegatti.eu/info/norme/statali/2023_0036.htm" TargetMode="External"/><Relationship Id="rId12" Type="http://schemas.openxmlformats.org/officeDocument/2006/relationships/hyperlink" Target="https://www.bosettiegatti.eu/info/norme/statali/2001_0380.htm" TargetMode="External"/><Relationship Id="rId2" Type="http://schemas.openxmlformats.org/officeDocument/2006/relationships/hyperlink" Target="https://www.bosettiegatti.eu/info/norme/statali/codicepenale.htm" TargetMode="External"/><Relationship Id="rId1" Type="http://schemas.openxmlformats.org/officeDocument/2006/relationships/hyperlink" Target="https://www.bosettiegatti.eu/info/norme/statali/1990_0055.htm" TargetMode="External"/><Relationship Id="rId6" Type="http://schemas.openxmlformats.org/officeDocument/2006/relationships/hyperlink" Target="https://www.bosettiegatti.eu/info/norme/statali/2023_0036.htm" TargetMode="External"/><Relationship Id="rId11" Type="http://schemas.openxmlformats.org/officeDocument/2006/relationships/hyperlink" Target="https://www.bosettiegatti.eu/info/norme/statali/codicepenale.htm" TargetMode="External"/><Relationship Id="rId5" Type="http://schemas.openxmlformats.org/officeDocument/2006/relationships/hyperlink" Target="https://www.bosettiegatti.eu/info/norme/statali/1981_0689.htm" TargetMode="External"/><Relationship Id="rId10" Type="http://schemas.openxmlformats.org/officeDocument/2006/relationships/hyperlink" Target="https://www.bosettiegatti.eu/info/norme/statali/codicecivile.htm" TargetMode="External"/><Relationship Id="rId4" Type="http://schemas.openxmlformats.org/officeDocument/2006/relationships/hyperlink" Target="https://www.bosettiegatti.eu/info/norme/statali/codicepenale.htm" TargetMode="Externa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Fodale</dc:creator>
  <cp:lastModifiedBy>DSGA</cp:lastModifiedBy>
  <cp:revision>2</cp:revision>
  <dcterms:created xsi:type="dcterms:W3CDTF">2024-05-13T10:20:00Z</dcterms:created>
  <dcterms:modified xsi:type="dcterms:W3CDTF">2024-05-13T10:20:00Z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