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120" w:line="276" w:lineRule="auto"/>
        <w:ind w:left="283" w:right="3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Piano nazionale di ripresa e resilienza, Missione 4 – Istruzione e ricerca – Componente 1 – Potenziamento dell’offerta dei servizi di istruzione: dagli asili nido alle università – Investimento 3.1 “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Nuove competenze e nuovi linguaggi</w:t>
      </w:r>
      <w:r w:rsidDel="00000000" w:rsidR="00000000" w:rsidRPr="00000000">
        <w:rPr>
          <w:b w:val="1"/>
          <w:sz w:val="20"/>
          <w:szCs w:val="20"/>
          <w:rtl w:val="0"/>
        </w:rPr>
        <w:t xml:space="preserve">”, finanziato dall’Unione europea –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Next Generation EU</w:t>
      </w:r>
      <w:r w:rsidDel="00000000" w:rsidR="00000000" w:rsidRPr="00000000">
        <w:rPr>
          <w:b w:val="1"/>
          <w:sz w:val="20"/>
          <w:szCs w:val="20"/>
          <w:rtl w:val="0"/>
        </w:rPr>
        <w:t xml:space="preserve"> – “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Azioni di potenziamento delle competenze STEM e multilinguistiche</w:t>
      </w:r>
      <w:r w:rsidDel="00000000" w:rsidR="00000000" w:rsidRPr="00000000">
        <w:rPr>
          <w:b w:val="1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 w14:paraId="00000003">
      <w:pPr>
        <w:spacing w:after="240" w:before="120" w:line="240" w:lineRule="auto"/>
        <w:jc w:val="center"/>
        <w:rPr>
          <w:rFonts w:ascii="Calibri" w:cs="Calibri" w:eastAsia="Calibri" w:hAnsi="Calibri"/>
          <w:b w:val="1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12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Intervento B: Realizzazione di percorsi formativi di lingua e di metodologia di durata annuale, finalizzati al potenziamento delle competenze linguistiche dei docenti in servizio e al miglioramento delle loro competenze metodologiche di insegnamento.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line="259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Azioni di potenziamento delle competenze STEM e multilinguistiche</w:t>
      </w:r>
    </w:p>
    <w:p w:rsidR="00000000" w:rsidDel="00000000" w:rsidP="00000000" w:rsidRDefault="00000000" w:rsidRPr="00000000" w14:paraId="00000006">
      <w:pPr>
        <w:spacing w:after="40" w:line="259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(D.M. n. 65/2023)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Titolo del Progetto STEM IN VERTICALE</w:t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C.U.P. B64D23004310006</w:t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20" w:before="120" w:line="276" w:lineRule="auto"/>
        <w:ind w:left="283" w:right="30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ALLEGATO “B”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Avviso interno ed esterno per acquisire la disponibilità del Personale Docente e di personale esterno ai fini della realizzazione del progetto per la Linea di investimento 3.1 “Nuove competenze e nuovi linguaggi”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 – Azioni di Potenziamento delle competenze STEM e multilinguistiche (D.M. 65/2023).</w:t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20"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Ai sensi e per gli effetti del D.P.R. n. 445/2000 di essere in possesso dei seguenti titoli valutabili che gli danno diritto ai seguenti punteggi, per un totale di punti __________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3255"/>
        <w:gridCol w:w="1845"/>
        <w:gridCol w:w="1920"/>
        <w:tblGridChange w:id="0">
          <w:tblGrid>
            <w:gridCol w:w="2340"/>
            <w:gridCol w:w="3255"/>
            <w:gridCol w:w="1845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dichiarati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riconosciuti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Anzianità di servizio (ruolo) - interni all’amministrazione scolastica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 a 5: 2 punti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5 a 10: 4 punti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 in poi: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Titolo di Studio (attinente al percorso formativo indefettibile per il ruolo di esperto). Max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66 a 98: 5 punti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99 a 109: 10 punti 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110 a 110/110 e lode: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Diploma (sufficiente per la sola figura del Tutor) e valutabile solo in assenza di laurea Max 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Titoli culturali attinenti agli ambiti disciplinari di cui all’oggetto dell’Avviso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Dottorato di Ricerca: 3 punti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Master di I o II Livello: 3 punti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Corso di perfezionamento: 2 punti 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Collaborazioni con Enti/Università: 1 punti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Corsi di Formazione: 1 punto (minimo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di docenza (docenza in STEM/orientamento o lingua Inglese)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Maggiore di 5 anni: 5 punti 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3 a 5 anni: 3 Punti 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Meno di 3 anni: 1 Punto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Esperienza specifica (attinente ai percorsi formativi)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Esperto/Tutor in progetti PON FSE (2 punto per ogni esperienza);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Docenza in altri progetti scolastici min. 10 ore (2 punti per ogni esperienza)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Certificazioni linguistiche (inglese) Max 8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B1: 2 Punti 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B2: 4 Punti 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C1: 6 Punti 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C2: 8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Certificazioni Informatiche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 per ogni certificazione (max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Proposta Progettuale (valutazione a cura della Commissione) Max 35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chiarezza e qualità progettuale (max punti 10) 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coerenza della proposta progettuale (max punti 10)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Originalità e innovatività (max punti 10) 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riproducibilità delle attività formative pianificate nonché all’interno della prassi lavorativa quotidiana (max punti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200000" cy="6300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widowControl w:val="0"/>
      <w:tabs>
        <w:tab w:val="center" w:leader="none" w:pos="4819"/>
        <w:tab w:val="right" w:leader="none" w:pos="9638"/>
      </w:tabs>
      <w:spacing w:line="288" w:lineRule="auto"/>
      <w:jc w:val="both"/>
      <w:rPr/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Allegato 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