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DE5" w:rsidRPr="00F3629E" w:rsidRDefault="001E1DE5" w:rsidP="00315B42">
      <w:pPr>
        <w:jc w:val="center"/>
        <w:rPr>
          <w:rFonts w:ascii="Book Antiqua" w:hAnsi="Book Antiqua"/>
        </w:rPr>
      </w:pPr>
      <w:r w:rsidRPr="00F3629E">
        <w:rPr>
          <w:rFonts w:ascii="Book Antiqua" w:hAnsi="Book Antiqua"/>
          <w:noProof/>
          <w:lang w:val="it-IT" w:eastAsia="it-IT" w:bidi="ar-SA"/>
        </w:rPr>
        <w:drawing>
          <wp:inline distT="0" distB="0" distL="0" distR="0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97" w:rsidRDefault="00F46597" w:rsidP="00315B42">
      <w:pPr>
        <w:jc w:val="center"/>
        <w:rPr>
          <w:rFonts w:ascii="Book Antiqua" w:hAnsi="Book Antiqua"/>
          <w:lang w:val="it-IT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8221"/>
      </w:tblGrid>
      <w:tr w:rsidR="00A831C5" w:rsidRPr="003C2F0C" w:rsidTr="00935E07">
        <w:trPr>
          <w:cantSplit/>
          <w:trHeight w:val="1497"/>
          <w:jc w:val="center"/>
        </w:trPr>
        <w:tc>
          <w:tcPr>
            <w:tcW w:w="1329" w:type="dxa"/>
            <w:vAlign w:val="center"/>
          </w:tcPr>
          <w:p w:rsidR="00A831C5" w:rsidRPr="00A831C5" w:rsidRDefault="00A831C5" w:rsidP="00315B42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</w:pPr>
            <w:r w:rsidRPr="00A831C5">
              <w:rPr>
                <w:rFonts w:eastAsia="Times New Roman" w:cs="Times New Roman"/>
                <w:noProof/>
                <w:color w:val="auto"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95325" cy="752475"/>
                  <wp:effectExtent l="0" t="0" r="9525" b="952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831C5" w:rsidRPr="00A831C5" w:rsidRDefault="00A831C5" w:rsidP="00315B42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it-IT" w:eastAsia="it-IT" w:bidi="ar-SA"/>
              </w:rPr>
            </w:pPr>
          </w:p>
          <w:p w:rsidR="00A831C5" w:rsidRPr="00A831C5" w:rsidRDefault="00A831C5" w:rsidP="00315B42">
            <w:pPr>
              <w:widowControl/>
              <w:tabs>
                <w:tab w:val="left" w:pos="54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it-IT" w:eastAsia="it-IT" w:bidi="ar-SA"/>
              </w:rPr>
            </w:pPr>
            <w:r w:rsidRPr="00A831C5">
              <w:rPr>
                <w:rFonts w:eastAsia="Times New Roman" w:cs="Times New Roman"/>
                <w:b/>
                <w:color w:val="auto"/>
                <w:sz w:val="22"/>
                <w:szCs w:val="22"/>
                <w:lang w:val="it-IT" w:eastAsia="it-IT" w:bidi="ar-SA"/>
              </w:rPr>
              <w:t>MINISTERO DELL’ISTRUZIONE DELL’UNIVERSITAÀ E DELLA RICERCA</w:t>
            </w:r>
          </w:p>
          <w:p w:rsidR="00A831C5" w:rsidRPr="00A831C5" w:rsidRDefault="00A831C5" w:rsidP="00315B42">
            <w:pPr>
              <w:widowControl/>
              <w:suppressAutoHyphens w:val="0"/>
              <w:autoSpaceDE w:val="0"/>
              <w:autoSpaceDN w:val="0"/>
              <w:snapToGrid w:val="0"/>
              <w:ind w:right="-1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it-IT" w:bidi="ar-SA"/>
              </w:rPr>
            </w:pPr>
            <w:r w:rsidRPr="00A831C5">
              <w:rPr>
                <w:rFonts w:eastAsia="Times New Roman" w:cs="Times New Roman"/>
                <w:b/>
                <w:color w:val="auto"/>
                <w:sz w:val="20"/>
                <w:szCs w:val="20"/>
                <w:lang w:val="it-IT" w:eastAsia="it-IT" w:bidi="ar-SA"/>
              </w:rPr>
              <w:t>ISTITUTO COMPRENSIVO STATALE DI OLGIATE MOLGORA</w:t>
            </w:r>
          </w:p>
          <w:p w:rsidR="00A831C5" w:rsidRPr="00A831C5" w:rsidRDefault="00A831C5" w:rsidP="00315B42">
            <w:pPr>
              <w:widowControl/>
              <w:suppressAutoHyphens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</w:pPr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 xml:space="preserve">Viale Sommi </w:t>
            </w:r>
            <w:proofErr w:type="gramStart"/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>Picenardi  -</w:t>
            </w:r>
            <w:proofErr w:type="gramEnd"/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 xml:space="preserve">  23887  Olgiate Molgora  (LC)</w:t>
            </w:r>
          </w:p>
          <w:p w:rsidR="00A831C5" w:rsidRPr="00A831C5" w:rsidRDefault="00A831C5" w:rsidP="00315B42">
            <w:pPr>
              <w:widowControl/>
              <w:suppressAutoHyphens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</w:pPr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>Tel. 039/</w:t>
            </w:r>
            <w:proofErr w:type="gramStart"/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>508008  -</w:t>
            </w:r>
            <w:proofErr w:type="gramEnd"/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 xml:space="preserve">  Fax  039/9910189</w:t>
            </w:r>
          </w:p>
          <w:p w:rsidR="00A831C5" w:rsidRPr="00A831C5" w:rsidRDefault="00A831C5" w:rsidP="00315B42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  <w:lang w:val="it-IT" w:eastAsia="it-IT" w:bidi="ar-SA"/>
              </w:rPr>
            </w:pPr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 xml:space="preserve">E-mail: </w:t>
            </w:r>
            <w:hyperlink r:id="rId10" w:history="1">
              <w:r w:rsidRPr="00A831C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it-IT" w:eastAsia="it-IT" w:bidi="ar-SA"/>
                </w:rPr>
                <w:t>lcic81700p@istruzione.it</w:t>
              </w:r>
            </w:hyperlink>
            <w:r w:rsidRPr="00A831C5">
              <w:rPr>
                <w:rFonts w:eastAsia="Times New Roman" w:cs="Times New Roman"/>
                <w:color w:val="auto"/>
                <w:sz w:val="20"/>
                <w:szCs w:val="20"/>
                <w:lang w:val="it-IT" w:eastAsia="it-IT" w:bidi="ar-SA"/>
              </w:rPr>
              <w:t xml:space="preserve"> – C.F. 94018810138</w:t>
            </w:r>
          </w:p>
        </w:tc>
      </w:tr>
    </w:tbl>
    <w:p w:rsidR="001E1DE5" w:rsidRPr="00B31CF8" w:rsidRDefault="00D2173A" w:rsidP="00315B42">
      <w:pPr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</w:p>
    <w:p w:rsidR="001E1DE5" w:rsidRPr="00B31CF8" w:rsidRDefault="001E1DE5" w:rsidP="00315B42">
      <w:pPr>
        <w:rPr>
          <w:rFonts w:ascii="Book Antiqua" w:hAnsi="Book Antiqua"/>
          <w:sz w:val="22"/>
          <w:szCs w:val="22"/>
          <w:lang w:val="it-IT"/>
        </w:rPr>
      </w:pPr>
    </w:p>
    <w:p w:rsidR="00B639B9" w:rsidRDefault="00366132" w:rsidP="00315B42">
      <w:pPr>
        <w:widowControl/>
        <w:suppressAutoHyphens w:val="0"/>
        <w:spacing w:after="200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Data e protocollo - </w:t>
      </w:r>
      <w:r w:rsidR="00EE6F70" w:rsidRPr="00BD70E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Vedasi segnatura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  <w:t xml:space="preserve">       </w:t>
      </w:r>
      <w:r w:rsidR="00BA18C7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 w:rsidR="00C64F8F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="00B639B9" w:rsidRPr="00BD70E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Olgiate Molgora</w:t>
      </w:r>
    </w:p>
    <w:p w:rsidR="00B4783B" w:rsidRPr="00B4783B" w:rsidRDefault="00B4783B" w:rsidP="00315B42">
      <w:pPr>
        <w:widowControl/>
        <w:suppressAutoHyphens w:val="0"/>
        <w:spacing w:before="360" w:after="200"/>
        <w:jc w:val="center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B4783B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>PROCEDURA RIVOLTA AL PERSONALE INTERNO</w:t>
      </w:r>
    </w:p>
    <w:p w:rsidR="00A659A7" w:rsidRPr="00A659A7" w:rsidRDefault="00B4783B" w:rsidP="00315B42">
      <w:pPr>
        <w:widowControl/>
        <w:suppressAutoHyphens w:val="0"/>
        <w:jc w:val="both"/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</w:pPr>
      <w:r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Per la selezione d</w:t>
      </w:r>
      <w:r w:rsid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el referente per la valutazione</w:t>
      </w:r>
      <w:r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 xml:space="preserve"> </w:t>
      </w:r>
      <w:r w:rsid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progetto “LABORATORI CREATIVI” nell’ambito dei</w:t>
      </w:r>
      <w:r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 xml:space="preserve"> </w:t>
      </w:r>
      <w:r w:rsidR="00A659A7"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Fondi Strutturali Europei – Programma Operativo Nazionale “Per la Scuola, competenze e ambienti per l’apprendimento” 2014-2020. Asse I- Istruzione- Fondo Sociale Europeo (FSE). Obiettivo Specifico 10.2 – Miglioramento delle competenze chiave degli allievi, anche mediante il supporto dello sviluppo delle capacità di docenti, formatori e staff. -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="00A659A7"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Prot</w:t>
      </w:r>
      <w:proofErr w:type="spellEnd"/>
      <w:r w:rsidR="00A659A7"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. n. 1953 del 21/02/2017. Competenze di base.</w:t>
      </w:r>
    </w:p>
    <w:p w:rsidR="00A659A7" w:rsidRPr="00A659A7" w:rsidRDefault="00A659A7" w:rsidP="00315B42">
      <w:pPr>
        <w:widowControl/>
        <w:suppressAutoHyphens w:val="0"/>
        <w:spacing w:before="120"/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</w:pPr>
      <w:proofErr w:type="gramStart"/>
      <w:r w:rsidRPr="00A659A7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>Codice  progetto</w:t>
      </w:r>
      <w:proofErr w:type="gramEnd"/>
      <w:r w:rsidRPr="00A659A7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 xml:space="preserve"> 10.2.2A-FSEPON-LO-2017-306</w:t>
      </w:r>
      <w:r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 xml:space="preserve">    </w:t>
      </w:r>
      <w:r w:rsidRPr="00A659A7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 xml:space="preserve"> -  CUP H65B17000130007</w:t>
      </w:r>
    </w:p>
    <w:p w:rsidR="00A659A7" w:rsidRDefault="00A659A7" w:rsidP="00315B42">
      <w:pPr>
        <w:widowControl/>
        <w:suppressAutoHyphens w:val="0"/>
        <w:spacing w:after="200"/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</w:pPr>
    </w:p>
    <w:p w:rsidR="00B4783B" w:rsidRPr="00B4783B" w:rsidRDefault="00B4783B" w:rsidP="00315B42">
      <w:pPr>
        <w:widowControl/>
        <w:suppressAutoHyphens w:val="0"/>
        <w:spacing w:after="200"/>
        <w:jc w:val="center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B4783B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>IL DIRIGENTE SCOLASTICO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48004B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VISTO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 il Programma Operativo Nazionale “Per la scuola, competenze e ambienti per l’apprendimento                 2014-2020”, approvato dalla Commissione Europea con Decisione C(2014) n. 9952, del 17                  </w:t>
      </w:r>
      <w:proofErr w:type="gram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dicembre  2014</w:t>
      </w:r>
      <w:proofErr w:type="gram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e successive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mm.ii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., inerente le azioni finanziate con il Fondo Sociale Europeo                  (FSE);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VISTO  </w:t>
      </w:r>
      <w:r w:rsidRPr="0048004B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l’Avviso pubblico AOODGEFID /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Prot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. n. 1953 del 21/02/2017. Competenze di base;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VISTO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  <w:t xml:space="preserve">il progetto </w:t>
      </w:r>
      <w:r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 xml:space="preserve">“LABORATORI CREATIVI” </w:t>
      </w:r>
      <w:r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presentato – candidatura n. 39077;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VISTA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  <w:t>la delibera n.41 del 09.03.2017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del Consiglio di Istituto e la delibera n. 7 del 22.02.2017 del Collegio dei docenti;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VISTA    la nota MIUR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Prot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. n. AOODGEFID/200 Roma 10/01/2018 di autorizzazione del progetto.</w:t>
      </w:r>
    </w:p>
    <w:p w:rsidR="00122D62" w:rsidRPr="00D77006" w:rsidRDefault="00122D62" w:rsidP="00315B42">
      <w:pPr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VISTE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 la Nota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Miur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Prot.n.34815 del 02.08.2017</w:t>
      </w:r>
      <w:r w:rsidRPr="003D52E3">
        <w:rPr>
          <w:rFonts w:ascii="Calibri" w:eastAsia="Times New Roman" w:hAnsi="Calibri" w:cs="Calibri"/>
          <w:lang w:val="it-IT" w:eastAsia="it-IT" w:bidi="ar-SA"/>
        </w:rPr>
        <w:t xml:space="preserve"> </w:t>
      </w:r>
      <w:r w:rsidRPr="003D52E3">
        <w:rPr>
          <w:rFonts w:ascii="Book Antiqua" w:eastAsiaTheme="minorHAnsi" w:hAnsi="Book Antiqua"/>
          <w:i/>
          <w:iCs/>
          <w:color w:val="auto"/>
          <w:sz w:val="22"/>
          <w:szCs w:val="22"/>
          <w:lang w:val="it-IT" w:bidi="ar-SA"/>
        </w:rPr>
        <w:t xml:space="preserve">Iter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di reclutamento del personale “esperto” e relativi aspetti di natura fiscale,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previdenziale e assistenziale. Chiarimenti.</w:t>
      </w:r>
    </w:p>
    <w:p w:rsidR="00122D62" w:rsidRPr="00D77006" w:rsidRDefault="00122D62" w:rsidP="00315B42">
      <w:pPr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VISTE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 la Nota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Miur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Prot.n.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1498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del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09-02-2018</w:t>
      </w:r>
      <w:r w:rsidRPr="003D52E3">
        <w:rPr>
          <w:rFonts w:ascii="Calibri" w:eastAsia="Times New Roman" w:hAnsi="Calibri" w:cs="Calibri"/>
          <w:lang w:val="it-IT" w:eastAsia="it-IT" w:bidi="ar-SA"/>
        </w:rPr>
        <w:t xml:space="preserve">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Disposizioni e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istruzioni per l’attuazione delle iniziative cofinanziate dai Fondi Strutturali Europei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2014 – 2020</w:t>
      </w:r>
    </w:p>
    <w:p w:rsidR="00122D62" w:rsidRPr="00D77006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VISTO il Decreto Interministeriale n. 44 del 1 febbraio 2001 “Regolamento concernente le Istruzioni generali sulla gestione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amministrativo-contabile delle istituzioni scolastiche”</w:t>
      </w:r>
    </w:p>
    <w:p w:rsidR="00122D62" w:rsidRPr="00D77006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VISTO il Decreto Legislativo 50/2016 “Attuazione delle Direttive 2014/23/UE, 2014/24/UE e 2014/25/UE Nuovo Codice degli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Appalti</w:t>
      </w:r>
    </w:p>
    <w:p w:rsidR="00122D62" w:rsidRPr="00D77006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VISTI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i Regolamenti UE n. 1303/2013 recante disposizioni generali sui Fondi Strutturali e di investimento europei e n.1304/20013 relativo al FSE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VIST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O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  <w:t>il R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egolamento del consiglio d’istituto contenente i criteri per la stipula dei contratti di prestazione d’opera per attività ed insegnamenti per l’arricchimento dell’offerta formativa ai </w:t>
      </w:r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lastRenderedPageBreak/>
        <w:t xml:space="preserve">sensi dell’art.40 del </w:t>
      </w:r>
      <w:proofErr w:type="gramStart"/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D.I..</w:t>
      </w:r>
      <w:proofErr w:type="gramEnd"/>
      <w:r w:rsidRPr="003D52E3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44/2001</w:t>
      </w:r>
      <w:r>
        <w:rPr>
          <w:rFonts w:ascii="Book Antiqua" w:eastAsiaTheme="minorHAnsi" w:hAnsi="Book Antiqua"/>
          <w:b/>
          <w:color w:val="auto"/>
          <w:sz w:val="22"/>
          <w:szCs w:val="22"/>
          <w:lang w:val="it-IT" w:bidi="ar-SA"/>
        </w:rPr>
        <w:t xml:space="preserve"> </w:t>
      </w:r>
      <w:r w:rsidRPr="00122D62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ed i</w:t>
      </w:r>
      <w:r>
        <w:rPr>
          <w:rFonts w:ascii="Book Antiqua" w:eastAsiaTheme="minorHAnsi" w:hAnsi="Book Antiqua"/>
          <w:b/>
          <w:color w:val="auto"/>
          <w:sz w:val="22"/>
          <w:szCs w:val="22"/>
          <w:lang w:val="it-IT" w:bidi="ar-SA"/>
        </w:rPr>
        <w:t xml:space="preserve"> </w:t>
      </w:r>
      <w:r w:rsidR="00B4783B" w:rsidRPr="00B4783B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criteri generali di individuazione dei tutor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interni</w:t>
      </w:r>
      <w:r w:rsidR="003C2F0C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e del referente per la valutazione dei progetti PON </w:t>
      </w:r>
      <w:r w:rsid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FSE 2014-2020</w:t>
      </w:r>
    </w:p>
    <w:p w:rsidR="00122D62" w:rsidRPr="00D77006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VISTO </w:t>
      </w:r>
      <w:r w:rsidR="00953E6C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il Decreto Dirigenziale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prot.n. </w:t>
      </w:r>
      <w:r w:rsidRPr="00690AF2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00797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del</w:t>
      </w:r>
      <w:r w:rsidRPr="00690AF2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23/02/2018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di assunzione nel Programma Annuale 201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8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dei finanziamenti del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Progetto </w:t>
      </w:r>
      <w:r w:rsidRPr="00690AF2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10.2.2A-FSEPON-LO-2017-306</w:t>
      </w:r>
    </w:p>
    <w:p w:rsidR="00122D62" w:rsidRDefault="00122D62" w:rsidP="00315B42">
      <w:pPr>
        <w:widowControl/>
        <w:suppressAutoHyphens w:val="0"/>
        <w:spacing w:before="6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VISTA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ab/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la necessità di reperire figure professionali specializza</w:t>
      </w:r>
      <w:r w:rsidR="00C51A6E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te per l’espletamento dei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modul</w:t>
      </w:r>
      <w:r w:rsidR="00C51A6E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i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inclusi nel progetto </w:t>
      </w:r>
      <w:r w:rsidRPr="00690AF2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10.2.2A-FSEPON-LO-2017-306</w:t>
      </w:r>
    </w:p>
    <w:p w:rsidR="00953E6C" w:rsidRDefault="00953E6C" w:rsidP="00315B42">
      <w:pPr>
        <w:widowControl/>
        <w:suppressAutoHyphens w:val="0"/>
        <w:spacing w:before="120"/>
        <w:ind w:left="851" w:hanging="851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</w:p>
    <w:p w:rsidR="00B4783B" w:rsidRPr="00B4783B" w:rsidRDefault="00B4783B" w:rsidP="00315B42">
      <w:pPr>
        <w:widowControl/>
        <w:suppressAutoHyphens w:val="0"/>
        <w:spacing w:before="200" w:after="200"/>
        <w:jc w:val="center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 w:rsidRPr="00B4783B">
        <w:rPr>
          <w:rFonts w:ascii="Book Antiqua" w:eastAsiaTheme="minorHAnsi" w:hAnsi="Book Antiqua"/>
          <w:b/>
          <w:bCs/>
          <w:color w:val="auto"/>
          <w:sz w:val="22"/>
          <w:szCs w:val="22"/>
          <w:lang w:val="it-IT" w:bidi="ar-SA"/>
        </w:rPr>
        <w:t>EMANA</w:t>
      </w:r>
    </w:p>
    <w:p w:rsidR="00122D62" w:rsidRDefault="00122D62" w:rsidP="00315B42">
      <w:pPr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proofErr w:type="gramStart"/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il</w:t>
      </w:r>
      <w:proofErr w:type="gramEnd"/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seguente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avviso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di selezione per titoli comparativi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a</w:t>
      </w:r>
      <w:r w:rsidRPr="00D77006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l fine del reclutamento di </w:t>
      </w:r>
      <w:r w:rsidR="00C51A6E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un </w:t>
      </w:r>
      <w:r w:rsid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referente per la valutazione</w:t>
      </w:r>
      <w:r w:rsidR="003C2F0C" w:rsidRPr="00A659A7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 xml:space="preserve"> 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per</w:t>
      </w:r>
      <w:r w:rsidR="003C2F0C"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 xml:space="preserve"> il </w:t>
      </w:r>
      <w:r w:rsid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progetto “LABORATORI CREATIVI”</w:t>
      </w: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.</w:t>
      </w:r>
    </w:p>
    <w:p w:rsidR="003A28AB" w:rsidRDefault="003A28AB" w:rsidP="00315B42">
      <w:pPr>
        <w:jc w:val="both"/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</w:pPr>
      <w:r w:rsidRP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 xml:space="preserve">Sede: </w:t>
      </w:r>
      <w:r w:rsidR="003C2F0C" w:rsidRPr="003C2F0C"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Istituto Comprensivo Olgiate Molgora.</w:t>
      </w:r>
    </w:p>
    <w:p w:rsidR="003C2F0C" w:rsidRPr="003C2F0C" w:rsidRDefault="003C2F0C" w:rsidP="00315B42">
      <w:pPr>
        <w:jc w:val="both"/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bCs/>
          <w:color w:val="auto"/>
          <w:sz w:val="22"/>
          <w:szCs w:val="22"/>
          <w:lang w:val="it-IT" w:bidi="ar-SA"/>
        </w:rPr>
        <w:t>Tempi di svolgimento: da aprile 2018 al 30 agosto 2019.</w:t>
      </w:r>
    </w:p>
    <w:p w:rsidR="009E585B" w:rsidRDefault="009E585B" w:rsidP="00315B42">
      <w:pPr>
        <w:widowControl/>
        <w:suppressAutoHyphens w:val="0"/>
        <w:jc w:val="center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</w:p>
    <w:p w:rsidR="00946925" w:rsidRPr="00946925" w:rsidRDefault="00111321" w:rsidP="00315B42">
      <w:pPr>
        <w:widowControl/>
        <w:suppressAutoHyphens w:val="0"/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 xml:space="preserve">Requisiti di ammissione </w:t>
      </w:r>
    </w:p>
    <w:p w:rsidR="004942EE" w:rsidRDefault="00297AB8" w:rsidP="00315B42">
      <w:pPr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  <w:r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  <w:t>Docente presso l’I.C. OLGIATE MOLGORA con contratto a tempo indeterminato.</w:t>
      </w:r>
    </w:p>
    <w:p w:rsidR="004942EE" w:rsidRDefault="004942EE" w:rsidP="00315B42">
      <w:pPr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</w:p>
    <w:p w:rsidR="00C51A6E" w:rsidRPr="00C51A6E" w:rsidRDefault="00C51A6E" w:rsidP="00315B42">
      <w:pPr>
        <w:widowControl/>
        <w:suppressAutoHyphens w:val="0"/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 xml:space="preserve">Funzione del </w:t>
      </w:r>
      <w:r w:rsidR="003C2F0C" w:rsidRPr="003C2F0C">
        <w:rPr>
          <w:rFonts w:ascii="Book Antiqua" w:eastAsiaTheme="minorHAnsi" w:hAnsi="Book Antiqua"/>
          <w:b/>
          <w:bCs/>
          <w:color w:val="auto"/>
          <w:sz w:val="22"/>
          <w:szCs w:val="22"/>
          <w:lang w:val="it-IT"/>
        </w:rPr>
        <w:t>referente per la valutazione</w:t>
      </w:r>
    </w:p>
    <w:p w:rsidR="003C2F0C" w:rsidRPr="003C2F0C" w:rsidRDefault="003C2F0C" w:rsidP="003C2F0C">
      <w:pPr>
        <w:pStyle w:val="Default"/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</w:rPr>
      </w:pPr>
      <w:r>
        <w:rPr>
          <w:rFonts w:ascii="Book Antiqua" w:eastAsiaTheme="minorHAnsi" w:hAnsi="Book Antiqua"/>
          <w:color w:val="auto"/>
          <w:sz w:val="22"/>
          <w:szCs w:val="22"/>
        </w:rPr>
        <w:t>Il referente per la valutazione a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>vrà la funzione di coordinare le attività valutative riguardanti il Progetto “</w:t>
      </w:r>
      <w:r>
        <w:rPr>
          <w:rFonts w:ascii="Book Antiqua" w:eastAsiaTheme="minorHAnsi" w:hAnsi="Book Antiqua"/>
          <w:color w:val="auto"/>
          <w:sz w:val="22"/>
          <w:szCs w:val="22"/>
        </w:rPr>
        <w:t>LABORATORI CREATIVI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>” nell’ambito del PON- FSE</w:t>
      </w:r>
      <w:r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- “Per la Scuola competenze e ambienti per l’apprendimento” relativo al Fondo Sociale Europeo – Programmazione 2014-2020- Prot.n. </w:t>
      </w:r>
      <w:r w:rsidRPr="00A659A7">
        <w:rPr>
          <w:rFonts w:ascii="Book Antiqua" w:eastAsiaTheme="minorHAnsi" w:hAnsi="Book Antiqua"/>
          <w:bCs/>
          <w:color w:val="auto"/>
          <w:sz w:val="22"/>
          <w:szCs w:val="22"/>
        </w:rPr>
        <w:t>1953 del 21/02/2017</w:t>
      </w:r>
      <w:r>
        <w:rPr>
          <w:rFonts w:ascii="Book Antiqua" w:eastAsiaTheme="minorHAnsi" w:hAnsi="Book Antiqua"/>
          <w:bCs/>
          <w:color w:val="auto"/>
          <w:sz w:val="22"/>
          <w:szCs w:val="22"/>
        </w:rPr>
        <w:t xml:space="preserve"> – Competenze di base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, con il compito di verificare, sia in itinere che ex-post, l’andamento e gli esiti degli interventi, interfacciandosi costantemente con l’Autorità di Gestione e gli altri soggetti coinvolti nella valutazione del Programma. </w:t>
      </w:r>
    </w:p>
    <w:p w:rsidR="003C2F0C" w:rsidRPr="003C2F0C" w:rsidRDefault="003C2F0C" w:rsidP="003C2F0C">
      <w:pPr>
        <w:pStyle w:val="Default"/>
        <w:spacing w:before="60"/>
        <w:rPr>
          <w:rFonts w:ascii="Book Antiqua" w:eastAsiaTheme="minorHAnsi" w:hAnsi="Book Antiqua"/>
          <w:color w:val="auto"/>
          <w:sz w:val="22"/>
          <w:szCs w:val="22"/>
        </w:rPr>
      </w:pPr>
      <w:r w:rsidRPr="003C2F0C">
        <w:rPr>
          <w:rFonts w:ascii="Book Antiqua" w:eastAsiaTheme="minorHAnsi" w:hAnsi="Book Antiqua"/>
          <w:color w:val="auto"/>
          <w:sz w:val="22"/>
          <w:szCs w:val="22"/>
        </w:rPr>
        <w:t>I compiti attribuiti al referente</w:t>
      </w:r>
      <w:r>
        <w:rPr>
          <w:rFonts w:ascii="Book Antiqua" w:eastAsiaTheme="minorHAnsi" w:hAnsi="Book Antiqua"/>
          <w:color w:val="auto"/>
          <w:sz w:val="22"/>
          <w:szCs w:val="22"/>
        </w:rPr>
        <w:t xml:space="preserve"> per la valutazione 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sono: </w:t>
      </w:r>
    </w:p>
    <w:p w:rsidR="003C2F0C" w:rsidRPr="003C2F0C" w:rsidRDefault="003C2F0C" w:rsidP="003C2F0C">
      <w:pPr>
        <w:pStyle w:val="Default"/>
        <w:spacing w:before="60"/>
        <w:ind w:left="142" w:hanging="142"/>
        <w:jc w:val="both"/>
        <w:rPr>
          <w:rFonts w:ascii="Book Antiqua" w:eastAsiaTheme="minorHAnsi" w:hAnsi="Book Antiqua"/>
          <w:color w:val="auto"/>
          <w:sz w:val="22"/>
          <w:szCs w:val="22"/>
        </w:rPr>
      </w:pP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• garantire, di concerto con tutor ed esperti di ciascun percorso formativo, la presenza di momenti di valutazione secondo le diverse esigenze didattiche e facilitarne l’attuazione; </w:t>
      </w:r>
    </w:p>
    <w:p w:rsidR="003C2F0C" w:rsidRPr="003C2F0C" w:rsidRDefault="003C2F0C" w:rsidP="003C2F0C">
      <w:pPr>
        <w:pStyle w:val="Default"/>
        <w:spacing w:before="60"/>
        <w:ind w:left="142" w:hanging="142"/>
        <w:jc w:val="both"/>
        <w:rPr>
          <w:rFonts w:ascii="Book Antiqua" w:eastAsiaTheme="minorHAnsi" w:hAnsi="Book Antiqua"/>
          <w:color w:val="auto"/>
          <w:sz w:val="22"/>
          <w:szCs w:val="22"/>
        </w:rPr>
      </w:pP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• coordinare le iniziative di valutazione, garantendo lo scambio di esperienze, la circolazione dei risultati, la costruzione di prove comparabili, lo sviluppo della competenza valutativa dei docenti; </w:t>
      </w:r>
    </w:p>
    <w:p w:rsidR="003C2F0C" w:rsidRPr="003C2F0C" w:rsidRDefault="003C2F0C" w:rsidP="003C2F0C">
      <w:pPr>
        <w:pStyle w:val="Default"/>
        <w:spacing w:before="60"/>
        <w:ind w:left="142" w:hanging="142"/>
        <w:jc w:val="both"/>
        <w:rPr>
          <w:rFonts w:ascii="Book Antiqua" w:eastAsiaTheme="minorHAnsi" w:hAnsi="Book Antiqua"/>
          <w:color w:val="auto"/>
          <w:sz w:val="22"/>
          <w:szCs w:val="22"/>
        </w:rPr>
      </w:pPr>
      <w:r w:rsidRPr="003C2F0C">
        <w:rPr>
          <w:rFonts w:ascii="Book Antiqua" w:eastAsiaTheme="minorHAnsi" w:hAnsi="Book Antiqua"/>
          <w:color w:val="auto"/>
          <w:sz w:val="22"/>
          <w:szCs w:val="22"/>
        </w:rPr>
        <w:t>• f</w:t>
      </w:r>
      <w:r>
        <w:rPr>
          <w:rFonts w:ascii="Book Antiqua" w:eastAsiaTheme="minorHAnsi" w:hAnsi="Book Antiqua"/>
          <w:color w:val="auto"/>
          <w:sz w:val="22"/>
          <w:szCs w:val="22"/>
        </w:rPr>
        <w:t>ungere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 da interfaccia con tutte le ini</w:t>
      </w:r>
      <w:r>
        <w:rPr>
          <w:rFonts w:ascii="Book Antiqua" w:eastAsiaTheme="minorHAnsi" w:hAnsi="Book Antiqua"/>
          <w:color w:val="auto"/>
          <w:sz w:val="22"/>
          <w:szCs w:val="22"/>
        </w:rPr>
        <w:t>ziative di valutazione esterna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 facilitandone la realizzazione e garantendo l’informazione sugli esiti conseguiti 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>all’interno</w:t>
      </w:r>
      <w:r>
        <w:rPr>
          <w:rFonts w:ascii="Book Antiqua" w:eastAsiaTheme="minorHAnsi" w:hAnsi="Book Antiqua"/>
          <w:color w:val="auto"/>
          <w:sz w:val="22"/>
          <w:szCs w:val="22"/>
        </w:rPr>
        <w:t xml:space="preserve"> dell’istituto</w:t>
      </w:r>
      <w:r w:rsidRPr="003C2F0C">
        <w:rPr>
          <w:rFonts w:ascii="Book Antiqua" w:eastAsiaTheme="minorHAnsi" w:hAnsi="Book Antiqua"/>
          <w:color w:val="auto"/>
          <w:sz w:val="22"/>
          <w:szCs w:val="22"/>
        </w:rPr>
        <w:t xml:space="preserve">. </w:t>
      </w:r>
    </w:p>
    <w:p w:rsidR="00946925" w:rsidRPr="00946925" w:rsidRDefault="00111321" w:rsidP="00315B42">
      <w:pPr>
        <w:spacing w:before="120"/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Termini e modalità di presentazione delle domande</w:t>
      </w:r>
    </w:p>
    <w:p w:rsidR="00946925" w:rsidRDefault="00111321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I docenti interessati devono presentare la propria candidatura, compilando </w:t>
      </w:r>
      <w:bookmarkStart w:id="0" w:name="_GoBack"/>
      <w:r w:rsidRPr="00773069">
        <w:rPr>
          <w:rFonts w:ascii="Book Antiqua" w:eastAsiaTheme="minorHAnsi" w:hAnsi="Book Antiqua"/>
          <w:color w:val="auto"/>
          <w:sz w:val="22"/>
          <w:szCs w:val="22"/>
          <w:u w:val="single"/>
          <w:lang w:val="it-IT"/>
        </w:rPr>
        <w:t>l’Allegato A</w:t>
      </w:r>
      <w:bookmarkEnd w:id="0"/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per l’incarico di </w:t>
      </w:r>
      <w:r w:rsidR="003C2F0C">
        <w:rPr>
          <w:rFonts w:ascii="Book Antiqua" w:eastAsiaTheme="minorHAnsi" w:hAnsi="Book Antiqua"/>
          <w:color w:val="auto"/>
          <w:sz w:val="22"/>
          <w:szCs w:val="22"/>
          <w:lang w:val="it-IT"/>
        </w:rPr>
        <w:t>REFERENTE PER LA VALUTAZIONE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entro </w:t>
      </w:r>
      <w:r w:rsidR="00707799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le </w:t>
      </w:r>
      <w:r w:rsidR="00707799" w:rsidRPr="0070779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 xml:space="preserve">ore </w:t>
      </w:r>
      <w:r w:rsidR="004942EE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09</w:t>
      </w:r>
      <w:r w:rsidR="00707799" w:rsidRPr="0070779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.00</w:t>
      </w:r>
      <w:r w:rsidR="00707799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de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 giorno </w:t>
      </w:r>
      <w:r w:rsidRPr="0070779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0</w:t>
      </w:r>
      <w:r w:rsidR="0077306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5</w:t>
      </w:r>
      <w:r w:rsidRPr="0070779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/</w:t>
      </w:r>
      <w:r w:rsidR="00B4163D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0</w:t>
      </w:r>
      <w:r w:rsidR="004942EE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4</w:t>
      </w:r>
      <w:r w:rsidRPr="00707799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/201</w:t>
      </w:r>
      <w:r w:rsidR="00707799">
        <w:rPr>
          <w:rFonts w:ascii="Book Antiqua" w:eastAsiaTheme="minorHAnsi" w:hAnsi="Book Antiqua"/>
          <w:color w:val="auto"/>
          <w:sz w:val="22"/>
          <w:szCs w:val="22"/>
          <w:lang w:val="it-IT"/>
        </w:rPr>
        <w:t>8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, </w:t>
      </w:r>
      <w:r w:rsidRPr="00F12A25">
        <w:rPr>
          <w:rFonts w:ascii="Book Antiqua" w:eastAsiaTheme="minorHAnsi" w:hAnsi="Book Antiqua"/>
          <w:color w:val="auto"/>
          <w:sz w:val="22"/>
          <w:szCs w:val="22"/>
          <w:u w:val="single"/>
          <w:lang w:val="it-IT"/>
        </w:rPr>
        <w:t>corredato dal Curriculum Vitae in formato europeo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, con le seguenti modalità: </w:t>
      </w:r>
    </w:p>
    <w:p w:rsidR="00946925" w:rsidRDefault="00111321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- Consegna a mano presso gli Uffici di segreteria </w:t>
      </w:r>
    </w:p>
    <w:p w:rsidR="00946925" w:rsidRDefault="00111321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- PEC al seguente indirizzo: </w:t>
      </w:r>
      <w:hyperlink r:id="rId11" w:history="1">
        <w:r w:rsidR="00946925" w:rsidRPr="00565836">
          <w:rPr>
            <w:rStyle w:val="Collegamentoipertestuale"/>
            <w:rFonts w:ascii="Book Antiqua" w:eastAsiaTheme="minorHAnsi" w:hAnsi="Book Antiqua"/>
            <w:sz w:val="22"/>
            <w:szCs w:val="22"/>
            <w:lang w:val="it-IT"/>
          </w:rPr>
          <w:t>lcic81700p@pec.istruzione.it</w:t>
        </w:r>
      </w:hyperlink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</w:p>
    <w:p w:rsidR="00946925" w:rsidRDefault="00111321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- Posta Raccomandata A/R (non farà fede il timbro postale ma la data di effettiva ricezione da parte della scuola) </w:t>
      </w:r>
    </w:p>
    <w:p w:rsidR="00946925" w:rsidRDefault="00946925" w:rsidP="00315B42">
      <w:pPr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</w:p>
    <w:p w:rsidR="00946925" w:rsidRPr="00946925" w:rsidRDefault="00111321" w:rsidP="00315B42">
      <w:pPr>
        <w:keepNext/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 xml:space="preserve">Modalità di attribuzione degli incarichi </w:t>
      </w:r>
    </w:p>
    <w:p w:rsidR="00946925" w:rsidRDefault="00111321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La selezione tra tutte le candidature pervenute nei termini avverrà ad opera del Dirigente Scolastico</w:t>
      </w:r>
      <w:r w:rsidR="009A16E9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che potrà convocare apposita commissione per la valutazione dei titoli 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di studio,</w:t>
      </w:r>
      <w:r w:rsid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  <w:r w:rsidR="009A16E9">
        <w:rPr>
          <w:rFonts w:ascii="Book Antiqua" w:eastAsiaTheme="minorHAnsi" w:hAnsi="Book Antiqua"/>
          <w:color w:val="auto"/>
          <w:sz w:val="22"/>
          <w:szCs w:val="22"/>
          <w:lang w:val="it-IT"/>
        </w:rPr>
        <w:t>dei</w:t>
      </w:r>
      <w:r w:rsid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titoli culturali specifici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e </w:t>
      </w:r>
      <w:r w:rsidR="009A16E9">
        <w:rPr>
          <w:rFonts w:ascii="Book Antiqua" w:eastAsiaTheme="minorHAnsi" w:hAnsi="Book Antiqua"/>
          <w:color w:val="auto"/>
          <w:sz w:val="22"/>
          <w:szCs w:val="22"/>
          <w:lang w:val="it-IT"/>
        </w:rPr>
        <w:t>de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i titoli di servizio maturati, sulla base dei criteri di seguito specificati</w:t>
      </w:r>
      <w:r w:rsidR="009A16E9">
        <w:rPr>
          <w:rFonts w:ascii="Book Antiqua" w:eastAsiaTheme="minorHAnsi" w:hAnsi="Book Antiqua"/>
          <w:color w:val="auto"/>
          <w:sz w:val="22"/>
          <w:szCs w:val="22"/>
          <w:lang w:val="it-IT"/>
        </w:rPr>
        <w:t>.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</w:p>
    <w:p w:rsidR="007A5AA8" w:rsidRPr="007A5AA8" w:rsidRDefault="00111321" w:rsidP="00F12A25">
      <w:pPr>
        <w:keepNext/>
        <w:spacing w:before="12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4942EE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Criteri di valutazione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</w:p>
    <w:p w:rsidR="00946925" w:rsidRPr="00773069" w:rsidRDefault="00773069" w:rsidP="00315B42">
      <w:pPr>
        <w:spacing w:before="120" w:after="12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773069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La valutazione delle domande avverrà tramite comparazione dei curricula, secondo i criteri di valutazione </w:t>
      </w:r>
      <w:proofErr w:type="gramStart"/>
      <w:r w:rsidRPr="00773069">
        <w:rPr>
          <w:rFonts w:ascii="Book Antiqua" w:eastAsiaTheme="minorHAnsi" w:hAnsi="Book Antiqua"/>
          <w:color w:val="auto"/>
          <w:sz w:val="22"/>
          <w:szCs w:val="22"/>
          <w:lang w:val="it-IT"/>
        </w:rPr>
        <w:t>stabiliti</w:t>
      </w:r>
      <w:proofErr w:type="gramEnd"/>
      <w:r w:rsidRPr="00773069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e riportati nella tabella di valutazione Allegato B del presente Bando.</w:t>
      </w:r>
    </w:p>
    <w:p w:rsidR="003A28AB" w:rsidRDefault="003A28AB" w:rsidP="00297AB8">
      <w:pPr>
        <w:spacing w:before="12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Prima del conferimento dell’incarico il Dirigente potrà convocare gli interessati per un colloquio. 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L’esito della selezione sarà comunicato direttamente al candidato individuato e al secondo in graduatoria. </w:t>
      </w: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lastRenderedPageBreak/>
        <w:t>Il provvedimento sarà affisso all’Albo della scuola.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>Questa Istituzione Scolastica si riserva di procedere al conferimento dell’incarico anche in presenza di una sola domanda valida per modulo.</w:t>
      </w:r>
    </w:p>
    <w:p w:rsidR="006D4FD9" w:rsidRDefault="006D4FD9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Le attività si svolgeranno secondo un calendario che sarà </w:t>
      </w:r>
      <w:r w:rsidR="00315B42">
        <w:rPr>
          <w:rFonts w:ascii="Book Antiqua" w:eastAsiaTheme="minorHAnsi" w:hAnsi="Book Antiqua"/>
          <w:color w:val="auto"/>
          <w:sz w:val="22"/>
          <w:szCs w:val="22"/>
          <w:lang w:val="it-IT"/>
        </w:rPr>
        <w:t>concordato con il docente esperto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.</w:t>
      </w:r>
      <w:r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</w:p>
    <w:p w:rsidR="003A28AB" w:rsidRPr="003A28AB" w:rsidRDefault="003A28AB" w:rsidP="00315B42">
      <w:pPr>
        <w:spacing w:before="120"/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Compensi</w:t>
      </w:r>
    </w:p>
    <w:p w:rsidR="00F12A25" w:rsidRDefault="003A28AB" w:rsidP="00F12A25">
      <w:pPr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La durata dell’incarico è stabilita in ore. </w:t>
      </w:r>
    </w:p>
    <w:p w:rsidR="00F12A25" w:rsidRPr="00F12A25" w:rsidRDefault="00F12A25" w:rsidP="00F12A25">
      <w:pPr>
        <w:spacing w:before="60"/>
        <w:jc w:val="both"/>
        <w:rPr>
          <w:rFonts w:ascii="Book Antiqua" w:hAnsi="Book Antiqua"/>
          <w:color w:val="auto"/>
          <w:sz w:val="22"/>
          <w:szCs w:val="22"/>
          <w:lang w:val="it-IT"/>
        </w:rPr>
      </w:pPr>
      <w:r w:rsidRPr="00F12A25">
        <w:rPr>
          <w:rFonts w:ascii="Book Antiqua" w:eastAsiaTheme="minorHAnsi" w:hAnsi="Book Antiqua"/>
          <w:color w:val="auto"/>
          <w:sz w:val="22"/>
          <w:szCs w:val="22"/>
          <w:lang w:val="it-IT"/>
        </w:rPr>
        <w:t>Il compenso è di € 17,50 + oneri a carico dello Stato e del dipendente per un massimo di 1</w:t>
      </w:r>
      <w:r>
        <w:rPr>
          <w:rFonts w:ascii="Book Antiqua" w:eastAsiaTheme="minorHAnsi" w:hAnsi="Book Antiqua"/>
          <w:color w:val="auto"/>
          <w:sz w:val="22"/>
          <w:szCs w:val="22"/>
          <w:lang w:val="it-IT"/>
        </w:rPr>
        <w:t>5</w:t>
      </w:r>
      <w:r w:rsidRPr="00F12A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ore, effettivamente svolte, per ciascun modulo (cfr. Tabella 5 del CCNL/2007). Si precisa, inoltre, che il pagamento sarà commisurato al numero delle ore effettivamente svolte, stante la presenza degli alunni necessaria per garantire la realizzazione del percorso formativo (cfr. </w:t>
      </w:r>
      <w:proofErr w:type="spellStart"/>
      <w:r w:rsidRPr="00F12A25">
        <w:rPr>
          <w:rFonts w:ascii="Book Antiqua" w:eastAsiaTheme="minorHAnsi" w:hAnsi="Book Antiqua"/>
          <w:color w:val="auto"/>
          <w:sz w:val="22"/>
          <w:szCs w:val="22"/>
          <w:lang w:val="it-IT"/>
        </w:rPr>
        <w:t>parag</w:t>
      </w:r>
      <w:proofErr w:type="spellEnd"/>
      <w:r w:rsidRPr="00F12A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. 2.1 dell’Avviso Pubblico di riferimento). </w:t>
      </w:r>
    </w:p>
    <w:p w:rsidR="003A28AB" w:rsidRDefault="004A70A7" w:rsidP="00F12A25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Gli emolumenti, previsti dal Piano Finanziario autorizzato, saranno corrisposti a seguito dell’effettiva erogazione dei fondi comunitari</w:t>
      </w:r>
      <w:r>
        <w:rPr>
          <w:rFonts w:ascii="Book Antiqua" w:eastAsiaTheme="minorHAnsi" w:hAnsi="Book Antiqua"/>
          <w:color w:val="auto"/>
          <w:sz w:val="22"/>
          <w:szCs w:val="22"/>
          <w:lang w:val="it-IT"/>
        </w:rPr>
        <w:t>.</w:t>
      </w:r>
    </w:p>
    <w:p w:rsidR="0078341D" w:rsidRDefault="0078341D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6D4FD9">
        <w:rPr>
          <w:rFonts w:ascii="Book Antiqua" w:eastAsiaTheme="minorHAnsi" w:hAnsi="Book Antiqua"/>
          <w:color w:val="auto"/>
          <w:sz w:val="22"/>
          <w:szCs w:val="22"/>
          <w:lang w:val="it-IT"/>
        </w:rPr>
        <w:t>Al candidato selezionato sarà conferito un incarico aggiuntivo, mediante apposita Lettera d’incarico.</w:t>
      </w: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</w:t>
      </w:r>
    </w:p>
    <w:p w:rsidR="004A70A7" w:rsidRDefault="004A70A7" w:rsidP="00315B42">
      <w:pPr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</w:p>
    <w:p w:rsidR="003A28AB" w:rsidRPr="003A28AB" w:rsidRDefault="003A28AB" w:rsidP="00315B42">
      <w:pPr>
        <w:jc w:val="both"/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b/>
          <w:color w:val="auto"/>
          <w:sz w:val="22"/>
          <w:szCs w:val="22"/>
          <w:lang w:val="it-IT"/>
        </w:rPr>
        <w:t>Privacy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>Ai sensi del D.lgs.196/2003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</w:t>
      </w:r>
      <w:r>
        <w:rPr>
          <w:rFonts w:ascii="Book Antiqua" w:eastAsiaTheme="minorHAnsi" w:hAnsi="Book Antiqua"/>
          <w:color w:val="auto"/>
          <w:sz w:val="22"/>
          <w:szCs w:val="22"/>
          <w:lang w:val="it-IT"/>
        </w:rPr>
        <w:t>-</w:t>
      </w: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economica dell’aspirante. 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L’interessato gode dei diritti di cui al citato </w:t>
      </w:r>
      <w:proofErr w:type="spellStart"/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>D.Lgs.</w:t>
      </w:r>
      <w:proofErr w:type="spellEnd"/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 196/2003. 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Il Responsabile del procedimento è il Dirigente Scolastico, prof.ssa </w:t>
      </w:r>
      <w:r>
        <w:rPr>
          <w:rFonts w:ascii="Book Antiqua" w:eastAsiaTheme="minorHAnsi" w:hAnsi="Book Antiqua"/>
          <w:color w:val="auto"/>
          <w:sz w:val="22"/>
          <w:szCs w:val="22"/>
          <w:lang w:val="it-IT"/>
        </w:rPr>
        <w:t>Sabrina Scola</w:t>
      </w: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 xml:space="preserve">. </w:t>
      </w:r>
    </w:p>
    <w:p w:rsid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</w:p>
    <w:p w:rsidR="003A28AB" w:rsidRPr="003A28AB" w:rsidRDefault="003A28AB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3A28AB">
        <w:rPr>
          <w:rFonts w:ascii="Book Antiqua" w:eastAsiaTheme="minorHAnsi" w:hAnsi="Book Antiqua"/>
          <w:color w:val="auto"/>
          <w:sz w:val="22"/>
          <w:szCs w:val="22"/>
          <w:lang w:val="it-IT"/>
        </w:rPr>
        <w:t>Per quanto non espressamente indicato valgono le Disposizioni Ministeriali indicate nelle Linee Guida di attuazione degli interventi finanziati con il FSE.</w:t>
      </w:r>
    </w:p>
    <w:p w:rsidR="00A30069" w:rsidRDefault="00690AF2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Il presente bando viene affisso all’Albo dell’Istituto, inserito sul sito internet (</w:t>
      </w:r>
      <w:hyperlink r:id="rId12" w:history="1">
        <w:r w:rsidR="0078341D" w:rsidRPr="00565836">
          <w:rPr>
            <w:rStyle w:val="Collegamentoipertestuale"/>
            <w:rFonts w:ascii="Book Antiqua" w:eastAsiaTheme="minorHAnsi" w:hAnsi="Book Antiqua"/>
            <w:sz w:val="22"/>
            <w:szCs w:val="22"/>
            <w:lang w:val="it-IT"/>
          </w:rPr>
          <w:t>www.icolgiatemolgora.gov.it</w:t>
        </w:r>
      </w:hyperlink>
      <w:r w:rsidRPr="00946925">
        <w:rPr>
          <w:rFonts w:ascii="Book Antiqua" w:eastAsiaTheme="minorHAnsi" w:hAnsi="Book Antiqua"/>
          <w:color w:val="auto"/>
          <w:sz w:val="22"/>
          <w:szCs w:val="22"/>
          <w:lang w:val="it-IT"/>
        </w:rPr>
        <w:t>)</w:t>
      </w:r>
    </w:p>
    <w:p w:rsidR="0078341D" w:rsidRDefault="0078341D" w:rsidP="00315B42">
      <w:pPr>
        <w:spacing w:before="60"/>
        <w:jc w:val="both"/>
        <w:rPr>
          <w:rFonts w:ascii="Book Antiqua" w:eastAsiaTheme="minorHAnsi" w:hAnsi="Book Antiqua"/>
          <w:color w:val="auto"/>
          <w:sz w:val="22"/>
          <w:szCs w:val="22"/>
          <w:lang w:val="it-IT"/>
        </w:rPr>
      </w:pPr>
    </w:p>
    <w:p w:rsidR="0078341D" w:rsidRPr="00946925" w:rsidRDefault="0078341D" w:rsidP="00315B42">
      <w:pPr>
        <w:spacing w:before="120"/>
        <w:jc w:val="both"/>
        <w:rPr>
          <w:rFonts w:ascii="Book Antiqua" w:eastAsiaTheme="minorHAnsi" w:hAnsi="Book Antiqua"/>
          <w:color w:val="auto"/>
          <w:sz w:val="22"/>
          <w:szCs w:val="22"/>
          <w:lang w:val="it-IT" w:bidi="ar-SA"/>
        </w:rPr>
      </w:pPr>
    </w:p>
    <w:p w:rsidR="00314D8B" w:rsidRPr="00FE7885" w:rsidRDefault="00B51226" w:rsidP="00315B42">
      <w:pPr>
        <w:pStyle w:val="NormaleWeb"/>
        <w:spacing w:before="0" w:beforeAutospacing="0" w:after="0" w:afterAutospacing="0"/>
        <w:ind w:left="5670" w:right="98"/>
        <w:rPr>
          <w:rFonts w:ascii="Book Antiqua" w:hAnsi="Book Antiqua" w:cs="Times New Roman"/>
          <w:iCs/>
          <w:sz w:val="22"/>
          <w:szCs w:val="22"/>
        </w:rPr>
      </w:pPr>
      <w:r w:rsidRPr="00FE7885">
        <w:rPr>
          <w:rFonts w:ascii="Book Antiqua" w:eastAsiaTheme="minorHAnsi" w:hAnsi="Book Antiqua" w:cs="Tahoma"/>
          <w:sz w:val="22"/>
          <w:szCs w:val="22"/>
          <w:lang w:eastAsia="en-US"/>
        </w:rPr>
        <w:t xml:space="preserve">            </w:t>
      </w:r>
      <w:r w:rsidR="007035EB" w:rsidRPr="00FE7885">
        <w:rPr>
          <w:rFonts w:ascii="Book Antiqua" w:hAnsi="Book Antiqua" w:cs="Times New Roman"/>
          <w:b/>
          <w:iCs/>
          <w:sz w:val="22"/>
          <w:szCs w:val="22"/>
        </w:rPr>
        <w:t xml:space="preserve">F.to </w:t>
      </w:r>
      <w:r w:rsidR="00314D8B" w:rsidRPr="00FE7885">
        <w:rPr>
          <w:rFonts w:ascii="Book Antiqua" w:hAnsi="Book Antiqua" w:cs="Times New Roman"/>
          <w:b/>
          <w:iCs/>
          <w:sz w:val="22"/>
          <w:szCs w:val="22"/>
        </w:rPr>
        <w:t>Il Dirigente Scolastico</w:t>
      </w:r>
    </w:p>
    <w:p w:rsidR="00E94330" w:rsidRPr="00C90F59" w:rsidRDefault="006C3B4F" w:rsidP="00315B42">
      <w:pPr>
        <w:ind w:left="5664"/>
        <w:jc w:val="center"/>
        <w:rPr>
          <w:rFonts w:ascii="Verdana" w:hAnsi="Verdana"/>
          <w:i/>
          <w:color w:val="auto"/>
          <w:sz w:val="20"/>
          <w:szCs w:val="20"/>
          <w:lang w:val="it-IT"/>
        </w:rPr>
      </w:pPr>
      <w:r w:rsidRPr="00C90F59">
        <w:rPr>
          <w:rFonts w:ascii="Verdana" w:hAnsi="Verdana" w:cs="Times New Roman"/>
          <w:i/>
          <w:iCs/>
          <w:color w:val="auto"/>
          <w:sz w:val="20"/>
          <w:szCs w:val="20"/>
          <w:lang w:val="it-IT"/>
        </w:rPr>
        <w:tab/>
      </w:r>
      <w:r w:rsidR="00C90F59" w:rsidRPr="00C90F59">
        <w:rPr>
          <w:rFonts w:ascii="Verdana" w:hAnsi="Verdana"/>
          <w:i/>
          <w:color w:val="auto"/>
          <w:sz w:val="20"/>
          <w:szCs w:val="20"/>
          <w:lang w:val="it-IT"/>
        </w:rPr>
        <w:t>Sabrina Scola</w:t>
      </w:r>
    </w:p>
    <w:p w:rsidR="006C3B4F" w:rsidRPr="00667E6F" w:rsidRDefault="006C3B4F" w:rsidP="00315B42">
      <w:pPr>
        <w:pStyle w:val="NormaleWeb"/>
        <w:spacing w:before="0" w:beforeAutospacing="0" w:after="0" w:afterAutospacing="0"/>
        <w:ind w:left="5664" w:right="98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314D8B" w:rsidRPr="00667E6F" w:rsidRDefault="00314D8B" w:rsidP="00315B42">
      <w:pPr>
        <w:ind w:right="98"/>
        <w:rPr>
          <w:rFonts w:ascii="Verdana" w:hAnsi="Verdana"/>
          <w:color w:val="auto"/>
          <w:sz w:val="20"/>
          <w:szCs w:val="20"/>
          <w:lang w:val="it-IT"/>
        </w:rPr>
      </w:pPr>
    </w:p>
    <w:p w:rsidR="00314D8B" w:rsidRPr="00667E6F" w:rsidRDefault="00314D8B" w:rsidP="00315B42">
      <w:pPr>
        <w:rPr>
          <w:rFonts w:ascii="Verdana" w:hAnsi="Verdana"/>
          <w:sz w:val="20"/>
          <w:szCs w:val="20"/>
          <w:lang w:val="it-IT"/>
        </w:rPr>
      </w:pPr>
    </w:p>
    <w:p w:rsidR="00E94330" w:rsidRPr="008B6849" w:rsidRDefault="00E94330" w:rsidP="00315B42">
      <w:pPr>
        <w:widowControl/>
        <w:suppressAutoHyphens w:val="0"/>
        <w:rPr>
          <w:rFonts w:ascii="Arial" w:hAnsi="Arial" w:cs="Arial"/>
          <w:b/>
          <w:sz w:val="20"/>
          <w:szCs w:val="20"/>
          <w:lang w:val="it-IT"/>
        </w:rPr>
      </w:pPr>
    </w:p>
    <w:sectPr w:rsidR="00E94330" w:rsidRPr="008B6849" w:rsidSect="00FE7885">
      <w:footerReference w:type="default" r:id="rId13"/>
      <w:footnotePr>
        <w:pos w:val="beneathText"/>
      </w:footnotePr>
      <w:pgSz w:w="11905" w:h="16837"/>
      <w:pgMar w:top="1135" w:right="851" w:bottom="709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D0" w:rsidRDefault="003367D0">
      <w:r>
        <w:separator/>
      </w:r>
    </w:p>
  </w:endnote>
  <w:endnote w:type="continuationSeparator" w:id="0">
    <w:p w:rsidR="003367D0" w:rsidRDefault="0033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B31CF8" w:rsidP="00B823BD">
    <w:pPr>
      <w:pStyle w:val="Pidipagina"/>
      <w:jc w:val="right"/>
    </w:pPr>
    <w:proofErr w:type="spellStart"/>
    <w:r w:rsidRPr="00B31CF8">
      <w:rPr>
        <w:rFonts w:asciiTheme="minorHAnsi" w:hAnsiTheme="minorHAnsi"/>
        <w:sz w:val="16"/>
        <w:szCs w:val="16"/>
      </w:rPr>
      <w:t>Pagina</w:t>
    </w:r>
    <w:proofErr w:type="spellEnd"/>
    <w:r w:rsidRPr="00B31CF8">
      <w:rPr>
        <w:rFonts w:asciiTheme="minorHAnsi" w:hAnsiTheme="minorHAnsi"/>
        <w:sz w:val="16"/>
        <w:szCs w:val="16"/>
      </w:rPr>
      <w:t xml:space="preserve"> </w:t>
    </w:r>
    <w:r w:rsidR="00BE0E40" w:rsidRPr="00B31CF8">
      <w:rPr>
        <w:rFonts w:asciiTheme="minorHAnsi" w:hAnsiTheme="minorHAnsi"/>
        <w:sz w:val="16"/>
        <w:szCs w:val="16"/>
      </w:rPr>
      <w:fldChar w:fldCharType="begin"/>
    </w:r>
    <w:r w:rsidRPr="00B31CF8">
      <w:rPr>
        <w:rFonts w:asciiTheme="minorHAnsi" w:hAnsiTheme="minorHAnsi"/>
        <w:sz w:val="16"/>
        <w:szCs w:val="16"/>
      </w:rPr>
      <w:instrText xml:space="preserve"> PAGE   \* MERGEFORMAT </w:instrText>
    </w:r>
    <w:r w:rsidR="00BE0E40" w:rsidRPr="00B31CF8">
      <w:rPr>
        <w:rFonts w:asciiTheme="minorHAnsi" w:hAnsiTheme="minorHAnsi"/>
        <w:sz w:val="16"/>
        <w:szCs w:val="16"/>
      </w:rPr>
      <w:fldChar w:fldCharType="separate"/>
    </w:r>
    <w:r w:rsidR="004E1961">
      <w:rPr>
        <w:rFonts w:asciiTheme="minorHAnsi" w:hAnsiTheme="minorHAnsi"/>
        <w:noProof/>
        <w:sz w:val="16"/>
        <w:szCs w:val="16"/>
      </w:rPr>
      <w:t>3</w:t>
    </w:r>
    <w:r w:rsidR="00BE0E40" w:rsidRPr="00B31CF8">
      <w:rPr>
        <w:rFonts w:asciiTheme="minorHAnsi" w:hAnsiTheme="minorHAnsi"/>
        <w:sz w:val="16"/>
        <w:szCs w:val="16"/>
      </w:rPr>
      <w:fldChar w:fldCharType="end"/>
    </w:r>
    <w:r w:rsidRPr="00B31CF8">
      <w:rPr>
        <w:rFonts w:asciiTheme="minorHAnsi" w:hAnsiTheme="minorHAnsi"/>
        <w:sz w:val="16"/>
        <w:szCs w:val="16"/>
      </w:rPr>
      <w:t xml:space="preserve"> di </w:t>
    </w:r>
    <w:r w:rsidR="003367D0">
      <w:fldChar w:fldCharType="begin"/>
    </w:r>
    <w:r w:rsidR="003367D0">
      <w:instrText xml:space="preserve"> NUMPAGES   \* MERGEFORMAT </w:instrText>
    </w:r>
    <w:r w:rsidR="003367D0">
      <w:fldChar w:fldCharType="separate"/>
    </w:r>
    <w:r w:rsidR="004E1961" w:rsidRPr="004E1961">
      <w:rPr>
        <w:rFonts w:asciiTheme="minorHAnsi" w:hAnsiTheme="minorHAnsi"/>
        <w:noProof/>
        <w:sz w:val="16"/>
        <w:szCs w:val="16"/>
      </w:rPr>
      <w:t>3</w:t>
    </w:r>
    <w:r w:rsidR="003367D0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D0" w:rsidRDefault="003367D0">
      <w:r>
        <w:separator/>
      </w:r>
    </w:p>
  </w:footnote>
  <w:footnote w:type="continuationSeparator" w:id="0">
    <w:p w:rsidR="003367D0" w:rsidRDefault="0033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4916"/>
    <w:multiLevelType w:val="hybridMultilevel"/>
    <w:tmpl w:val="4DB6CCE0"/>
    <w:lvl w:ilvl="0" w:tplc="1B2EFBD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CC6"/>
    <w:multiLevelType w:val="multilevel"/>
    <w:tmpl w:val="C9A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A7148F"/>
    <w:multiLevelType w:val="hybridMultilevel"/>
    <w:tmpl w:val="F1387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0BBC"/>
    <w:multiLevelType w:val="hybridMultilevel"/>
    <w:tmpl w:val="EC504304"/>
    <w:lvl w:ilvl="0" w:tplc="6DBE70BA">
      <w:start w:val="1"/>
      <w:numFmt w:val="lowerLetter"/>
      <w:lvlText w:val="%1."/>
      <w:lvlJc w:val="left"/>
      <w:pPr>
        <w:ind w:left="1080" w:hanging="360"/>
      </w:pPr>
      <w:rPr>
        <w:rFonts w:ascii="Book Antiqua" w:eastAsiaTheme="minorHAnsi" w:hAnsi="Book Antiqua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94DE3"/>
    <w:multiLevelType w:val="hybridMultilevel"/>
    <w:tmpl w:val="F788E3E6"/>
    <w:lvl w:ilvl="0" w:tplc="B9C8E59A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871C05"/>
    <w:multiLevelType w:val="hybridMultilevel"/>
    <w:tmpl w:val="23422770"/>
    <w:lvl w:ilvl="0" w:tplc="1D6C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A95"/>
    <w:multiLevelType w:val="hybridMultilevel"/>
    <w:tmpl w:val="8FF88A9C"/>
    <w:lvl w:ilvl="0" w:tplc="1B2EFBD6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04511"/>
    <w:multiLevelType w:val="hybridMultilevel"/>
    <w:tmpl w:val="BA0C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0376A"/>
    <w:multiLevelType w:val="hybridMultilevel"/>
    <w:tmpl w:val="4D9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C7331"/>
    <w:multiLevelType w:val="hybridMultilevel"/>
    <w:tmpl w:val="EFF057F0"/>
    <w:lvl w:ilvl="0" w:tplc="1B2EFBD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3"/>
  </w:num>
  <w:num w:numId="5">
    <w:abstractNumId w:val="4"/>
  </w:num>
  <w:num w:numId="6">
    <w:abstractNumId w:val="24"/>
  </w:num>
  <w:num w:numId="7">
    <w:abstractNumId w:val="1"/>
  </w:num>
  <w:num w:numId="8">
    <w:abstractNumId w:val="14"/>
  </w:num>
  <w:num w:numId="9">
    <w:abstractNumId w:val="21"/>
  </w:num>
  <w:num w:numId="10">
    <w:abstractNumId w:val="5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25"/>
  </w:num>
  <w:num w:numId="16">
    <w:abstractNumId w:val="8"/>
  </w:num>
  <w:num w:numId="17">
    <w:abstractNumId w:val="3"/>
  </w:num>
  <w:num w:numId="18">
    <w:abstractNumId w:val="16"/>
  </w:num>
  <w:num w:numId="19">
    <w:abstractNumId w:val="20"/>
  </w:num>
  <w:num w:numId="20">
    <w:abstractNumId w:val="15"/>
  </w:num>
  <w:num w:numId="21">
    <w:abstractNumId w:val="10"/>
  </w:num>
  <w:num w:numId="22">
    <w:abstractNumId w:val="18"/>
  </w:num>
  <w:num w:numId="23">
    <w:abstractNumId w:val="2"/>
  </w:num>
  <w:num w:numId="24">
    <w:abstractNumId w:val="7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56A7F"/>
    <w:rsid w:val="00056B06"/>
    <w:rsid w:val="00071885"/>
    <w:rsid w:val="000924E3"/>
    <w:rsid w:val="000C40FC"/>
    <w:rsid w:val="000D4F63"/>
    <w:rsid w:val="000E4F1A"/>
    <w:rsid w:val="000F1640"/>
    <w:rsid w:val="00111321"/>
    <w:rsid w:val="00122D62"/>
    <w:rsid w:val="001276BE"/>
    <w:rsid w:val="0013130B"/>
    <w:rsid w:val="00151B51"/>
    <w:rsid w:val="0015446E"/>
    <w:rsid w:val="00155D1C"/>
    <w:rsid w:val="001573B1"/>
    <w:rsid w:val="001632BF"/>
    <w:rsid w:val="00163D7B"/>
    <w:rsid w:val="00166E9E"/>
    <w:rsid w:val="001674D1"/>
    <w:rsid w:val="00187158"/>
    <w:rsid w:val="0019168D"/>
    <w:rsid w:val="001A3963"/>
    <w:rsid w:val="001B04A4"/>
    <w:rsid w:val="001B1CEE"/>
    <w:rsid w:val="001C424B"/>
    <w:rsid w:val="001E0D16"/>
    <w:rsid w:val="001E1DE5"/>
    <w:rsid w:val="00201D01"/>
    <w:rsid w:val="00216D08"/>
    <w:rsid w:val="00244002"/>
    <w:rsid w:val="002575AC"/>
    <w:rsid w:val="00270DC8"/>
    <w:rsid w:val="00273D93"/>
    <w:rsid w:val="002969F7"/>
    <w:rsid w:val="00297AB8"/>
    <w:rsid w:val="002D1E23"/>
    <w:rsid w:val="002D66D3"/>
    <w:rsid w:val="002D6FF2"/>
    <w:rsid w:val="002E6A69"/>
    <w:rsid w:val="002F3CB5"/>
    <w:rsid w:val="00311CCC"/>
    <w:rsid w:val="00314D8B"/>
    <w:rsid w:val="00315B42"/>
    <w:rsid w:val="00331825"/>
    <w:rsid w:val="0033434C"/>
    <w:rsid w:val="003367D0"/>
    <w:rsid w:val="00341601"/>
    <w:rsid w:val="00351496"/>
    <w:rsid w:val="00366132"/>
    <w:rsid w:val="00366311"/>
    <w:rsid w:val="00372748"/>
    <w:rsid w:val="00382F32"/>
    <w:rsid w:val="003860C3"/>
    <w:rsid w:val="003A28AB"/>
    <w:rsid w:val="003A364E"/>
    <w:rsid w:val="003A7B1C"/>
    <w:rsid w:val="003B635E"/>
    <w:rsid w:val="003C2F0C"/>
    <w:rsid w:val="003D1691"/>
    <w:rsid w:val="003D52E3"/>
    <w:rsid w:val="003E7C9A"/>
    <w:rsid w:val="00406765"/>
    <w:rsid w:val="004209A6"/>
    <w:rsid w:val="00423140"/>
    <w:rsid w:val="00444E15"/>
    <w:rsid w:val="004459F6"/>
    <w:rsid w:val="004469CA"/>
    <w:rsid w:val="00462913"/>
    <w:rsid w:val="0047367D"/>
    <w:rsid w:val="0048004B"/>
    <w:rsid w:val="0048078A"/>
    <w:rsid w:val="00485FF1"/>
    <w:rsid w:val="004942EE"/>
    <w:rsid w:val="00494C54"/>
    <w:rsid w:val="00494CD3"/>
    <w:rsid w:val="004A1C97"/>
    <w:rsid w:val="004A6ED6"/>
    <w:rsid w:val="004A70A7"/>
    <w:rsid w:val="004B372D"/>
    <w:rsid w:val="004C403C"/>
    <w:rsid w:val="004C49DB"/>
    <w:rsid w:val="004D7485"/>
    <w:rsid w:val="004E1961"/>
    <w:rsid w:val="004F1521"/>
    <w:rsid w:val="00503940"/>
    <w:rsid w:val="00510A8A"/>
    <w:rsid w:val="00522C4C"/>
    <w:rsid w:val="00527A64"/>
    <w:rsid w:val="0054451F"/>
    <w:rsid w:val="00553E2E"/>
    <w:rsid w:val="005566D9"/>
    <w:rsid w:val="00567200"/>
    <w:rsid w:val="00577F45"/>
    <w:rsid w:val="005A1496"/>
    <w:rsid w:val="005B00F4"/>
    <w:rsid w:val="005E1CA9"/>
    <w:rsid w:val="005F2172"/>
    <w:rsid w:val="005F3397"/>
    <w:rsid w:val="00604010"/>
    <w:rsid w:val="00624D22"/>
    <w:rsid w:val="00625106"/>
    <w:rsid w:val="006375E1"/>
    <w:rsid w:val="006420C6"/>
    <w:rsid w:val="00667E6F"/>
    <w:rsid w:val="0067068B"/>
    <w:rsid w:val="00674AF6"/>
    <w:rsid w:val="00690AF2"/>
    <w:rsid w:val="00697A7E"/>
    <w:rsid w:val="006A230A"/>
    <w:rsid w:val="006B7F3C"/>
    <w:rsid w:val="006C3B4F"/>
    <w:rsid w:val="006D4FD9"/>
    <w:rsid w:val="006E2995"/>
    <w:rsid w:val="007035EB"/>
    <w:rsid w:val="007067A1"/>
    <w:rsid w:val="007075FD"/>
    <w:rsid w:val="00707799"/>
    <w:rsid w:val="00710630"/>
    <w:rsid w:val="00720C4E"/>
    <w:rsid w:val="00721D64"/>
    <w:rsid w:val="0073639D"/>
    <w:rsid w:val="00746E91"/>
    <w:rsid w:val="00762D45"/>
    <w:rsid w:val="00771E02"/>
    <w:rsid w:val="00773069"/>
    <w:rsid w:val="0078341D"/>
    <w:rsid w:val="007A1EA6"/>
    <w:rsid w:val="007A3E48"/>
    <w:rsid w:val="007A5AA8"/>
    <w:rsid w:val="007D0A69"/>
    <w:rsid w:val="007D2279"/>
    <w:rsid w:val="007E5F1C"/>
    <w:rsid w:val="008000C1"/>
    <w:rsid w:val="00800488"/>
    <w:rsid w:val="0080268B"/>
    <w:rsid w:val="00802AFB"/>
    <w:rsid w:val="00810A29"/>
    <w:rsid w:val="00834E77"/>
    <w:rsid w:val="00836B5A"/>
    <w:rsid w:val="00837703"/>
    <w:rsid w:val="00842C23"/>
    <w:rsid w:val="00863C04"/>
    <w:rsid w:val="0087786C"/>
    <w:rsid w:val="00881F4F"/>
    <w:rsid w:val="008A33D6"/>
    <w:rsid w:val="008B2CB6"/>
    <w:rsid w:val="008B6849"/>
    <w:rsid w:val="008C05D7"/>
    <w:rsid w:val="008C32F0"/>
    <w:rsid w:val="008E1512"/>
    <w:rsid w:val="008E4645"/>
    <w:rsid w:val="008E6DB7"/>
    <w:rsid w:val="008E7CFE"/>
    <w:rsid w:val="008F7BAA"/>
    <w:rsid w:val="0090015D"/>
    <w:rsid w:val="00904B9C"/>
    <w:rsid w:val="00925405"/>
    <w:rsid w:val="00946925"/>
    <w:rsid w:val="00953E6C"/>
    <w:rsid w:val="009732CF"/>
    <w:rsid w:val="009734B0"/>
    <w:rsid w:val="009934A8"/>
    <w:rsid w:val="009A16E9"/>
    <w:rsid w:val="009A28C4"/>
    <w:rsid w:val="009B5860"/>
    <w:rsid w:val="009C0AAF"/>
    <w:rsid w:val="009D7E47"/>
    <w:rsid w:val="009E06A9"/>
    <w:rsid w:val="009E585B"/>
    <w:rsid w:val="009E7C7F"/>
    <w:rsid w:val="00A2238B"/>
    <w:rsid w:val="00A26CB6"/>
    <w:rsid w:val="00A30069"/>
    <w:rsid w:val="00A34455"/>
    <w:rsid w:val="00A52127"/>
    <w:rsid w:val="00A659A7"/>
    <w:rsid w:val="00A82614"/>
    <w:rsid w:val="00A831C5"/>
    <w:rsid w:val="00A94417"/>
    <w:rsid w:val="00AA1912"/>
    <w:rsid w:val="00AA3BE1"/>
    <w:rsid w:val="00AB1D89"/>
    <w:rsid w:val="00AE5E28"/>
    <w:rsid w:val="00B062F2"/>
    <w:rsid w:val="00B12CFD"/>
    <w:rsid w:val="00B13656"/>
    <w:rsid w:val="00B13822"/>
    <w:rsid w:val="00B23947"/>
    <w:rsid w:val="00B23B06"/>
    <w:rsid w:val="00B310EE"/>
    <w:rsid w:val="00B3190B"/>
    <w:rsid w:val="00B31CF8"/>
    <w:rsid w:val="00B4163D"/>
    <w:rsid w:val="00B44DCB"/>
    <w:rsid w:val="00B4783B"/>
    <w:rsid w:val="00B51226"/>
    <w:rsid w:val="00B533E0"/>
    <w:rsid w:val="00B53FC0"/>
    <w:rsid w:val="00B55759"/>
    <w:rsid w:val="00B56D1F"/>
    <w:rsid w:val="00B639B9"/>
    <w:rsid w:val="00B808C1"/>
    <w:rsid w:val="00B823BD"/>
    <w:rsid w:val="00B8251F"/>
    <w:rsid w:val="00B83175"/>
    <w:rsid w:val="00B87913"/>
    <w:rsid w:val="00BA00E4"/>
    <w:rsid w:val="00BA18C7"/>
    <w:rsid w:val="00BB5F2C"/>
    <w:rsid w:val="00BC1EF2"/>
    <w:rsid w:val="00BC2F11"/>
    <w:rsid w:val="00BD182F"/>
    <w:rsid w:val="00BD70E6"/>
    <w:rsid w:val="00BE0E40"/>
    <w:rsid w:val="00BE3784"/>
    <w:rsid w:val="00BF1849"/>
    <w:rsid w:val="00BF55C9"/>
    <w:rsid w:val="00C47A3B"/>
    <w:rsid w:val="00C51A6E"/>
    <w:rsid w:val="00C56308"/>
    <w:rsid w:val="00C641D6"/>
    <w:rsid w:val="00C64F8F"/>
    <w:rsid w:val="00C7645B"/>
    <w:rsid w:val="00C90F59"/>
    <w:rsid w:val="00CB2F0C"/>
    <w:rsid w:val="00CD293C"/>
    <w:rsid w:val="00CD30CD"/>
    <w:rsid w:val="00CD393B"/>
    <w:rsid w:val="00CD3F01"/>
    <w:rsid w:val="00D2173A"/>
    <w:rsid w:val="00D4092F"/>
    <w:rsid w:val="00D45342"/>
    <w:rsid w:val="00D5744E"/>
    <w:rsid w:val="00D77006"/>
    <w:rsid w:val="00D77570"/>
    <w:rsid w:val="00D901DF"/>
    <w:rsid w:val="00DB268C"/>
    <w:rsid w:val="00DB3147"/>
    <w:rsid w:val="00DC2BE2"/>
    <w:rsid w:val="00DD19C1"/>
    <w:rsid w:val="00DD4BA6"/>
    <w:rsid w:val="00E2079E"/>
    <w:rsid w:val="00E26321"/>
    <w:rsid w:val="00E41822"/>
    <w:rsid w:val="00E60E1A"/>
    <w:rsid w:val="00E62C03"/>
    <w:rsid w:val="00E73729"/>
    <w:rsid w:val="00E76E6A"/>
    <w:rsid w:val="00E817F0"/>
    <w:rsid w:val="00E822DE"/>
    <w:rsid w:val="00E94330"/>
    <w:rsid w:val="00EA49F6"/>
    <w:rsid w:val="00EC7885"/>
    <w:rsid w:val="00EE60E0"/>
    <w:rsid w:val="00EE6F70"/>
    <w:rsid w:val="00EE7158"/>
    <w:rsid w:val="00F00658"/>
    <w:rsid w:val="00F12A25"/>
    <w:rsid w:val="00F206A5"/>
    <w:rsid w:val="00F22E85"/>
    <w:rsid w:val="00F249BF"/>
    <w:rsid w:val="00F30A4B"/>
    <w:rsid w:val="00F46597"/>
    <w:rsid w:val="00F6079F"/>
    <w:rsid w:val="00F65441"/>
    <w:rsid w:val="00F91705"/>
    <w:rsid w:val="00FD4260"/>
    <w:rsid w:val="00FD68A5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FDB89-8CAF-4809-902D-9CAD56A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111321"/>
    <w:pPr>
      <w:ind w:left="720"/>
      <w:contextualSpacing/>
    </w:pPr>
  </w:style>
  <w:style w:type="paragraph" w:customStyle="1" w:styleId="Default">
    <w:name w:val="Default"/>
    <w:rsid w:val="00C51A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olgiatemolgor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ic817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ic817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1428-E6E3-4232-808D-0B8B7DC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ICOlgiate</cp:lastModifiedBy>
  <cp:revision>4</cp:revision>
  <cp:lastPrinted>2018-03-24T19:45:00Z</cp:lastPrinted>
  <dcterms:created xsi:type="dcterms:W3CDTF">2018-03-24T19:45:00Z</dcterms:created>
  <dcterms:modified xsi:type="dcterms:W3CDTF">2018-03-24T19:45:00Z</dcterms:modified>
</cp:coreProperties>
</file>