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 </w:t>
      </w:r>
      <w:r w:rsidDel="00000000" w:rsidR="00000000" w:rsidRPr="00000000">
        <w:rPr>
          <w:rFonts w:ascii="Arial" w:cs="Arial" w:eastAsia="Arial" w:hAnsi="Arial"/>
          <w:rtl w:val="0"/>
        </w:rPr>
        <w:t xml:space="preserve">Secondaria “L. Da Vinci”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Lingua Inglese 2: “UPGRADE YOUR ENGLISH:enhance your speaking and listening skills”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alunni classi seconde scuola secondaria primo grado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g2L+W2Y+n07YgqeXDDInzK1reA==">AMUW2mUQHC2cTEPm5hsidWEzNChP4m4f3nDyN7WcfXNHjuX0GKCX6gqcCNM3EKMRhzlX0Gm08uQL1lJUfWpbyHBOQ0Mc8rFp6pU0PeKe4uBZ7OSrK0se8Wg=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