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ALLEGATO  </w:t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1 </w:t>
      </w:r>
    </w:p>
    <w:p w:rsidR="00576797" w:rsidRDefault="00576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Overlock" w:eastAsia="Overlock" w:hAnsi="Overlock" w:cs="Overlock"/>
          <w:b/>
          <w:color w:val="444444"/>
          <w:sz w:val="26"/>
          <w:szCs w:val="26"/>
        </w:rPr>
      </w:pPr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 </w:t>
      </w:r>
      <w:proofErr w:type="gramStart"/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Domanda </w:t>
      </w:r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 di</w:t>
      </w:r>
      <w:proofErr w:type="gramEnd"/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  </w:t>
      </w:r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partecipazione  </w:t>
      </w:r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all’avviso </w:t>
      </w:r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 di </w:t>
      </w:r>
      <w:r>
        <w:rPr>
          <w:rFonts w:ascii="Overlock" w:eastAsia="Overlock" w:hAnsi="Overlock" w:cs="Overlock"/>
          <w:b/>
          <w:color w:val="444444"/>
          <w:sz w:val="26"/>
          <w:szCs w:val="26"/>
        </w:rPr>
        <w:t>selezione</w:t>
      </w:r>
    </w:p>
    <w:p w:rsidR="00576797" w:rsidRDefault="007A7E68" w:rsidP="007A7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Overlock" w:eastAsia="Overlock" w:hAnsi="Overlock" w:cs="Overlock"/>
          <w:color w:val="444444"/>
          <w:sz w:val="21"/>
          <w:szCs w:val="21"/>
        </w:rPr>
        <w:t>Al Dirigente Scolastico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d</w:t>
      </w:r>
      <w:r>
        <w:rPr>
          <w:rFonts w:ascii="Overlock" w:eastAsia="Overlock" w:hAnsi="Overlock" w:cs="Overlock"/>
          <w:color w:val="444444"/>
          <w:sz w:val="21"/>
          <w:szCs w:val="21"/>
        </w:rPr>
        <w:t>ell’Istituto Comprensivo</w:t>
      </w:r>
    </w:p>
    <w:p w:rsidR="00576797" w:rsidRDefault="007A7E68" w:rsidP="007A7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Overlock" w:eastAsia="Overlock" w:hAnsi="Overlock" w:cs="Overlock"/>
          <w:color w:val="444444"/>
          <w:sz w:val="21"/>
          <w:szCs w:val="21"/>
        </w:rPr>
        <w:t xml:space="preserve">“B. </w:t>
      </w:r>
      <w:proofErr w:type="gramStart"/>
      <w:r>
        <w:rPr>
          <w:rFonts w:ascii="Overlock" w:eastAsia="Overlock" w:hAnsi="Overlock" w:cs="Overlock"/>
          <w:color w:val="444444"/>
          <w:sz w:val="21"/>
          <w:szCs w:val="21"/>
        </w:rPr>
        <w:t xml:space="preserve">Gigli” </w:t>
      </w:r>
      <w:r>
        <w:rPr>
          <w:rFonts w:ascii="Overlock" w:eastAsia="Overlock" w:hAnsi="Overlock" w:cs="Overlock"/>
          <w:color w:val="444444"/>
          <w:sz w:val="21"/>
          <w:szCs w:val="21"/>
        </w:rPr>
        <w:t xml:space="preserve"> di</w:t>
      </w:r>
      <w:proofErr w:type="gramEnd"/>
      <w:r>
        <w:rPr>
          <w:rFonts w:ascii="Overlock" w:eastAsia="Overlock" w:hAnsi="Overlock" w:cs="Overlock"/>
          <w:color w:val="444444"/>
          <w:sz w:val="21"/>
          <w:szCs w:val="21"/>
        </w:rPr>
        <w:t xml:space="preserve"> </w:t>
      </w:r>
      <w:r>
        <w:rPr>
          <w:rFonts w:ascii="Overlock" w:eastAsia="Overlock" w:hAnsi="Overlock" w:cs="Overlock"/>
          <w:color w:val="444444"/>
          <w:sz w:val="21"/>
          <w:szCs w:val="21"/>
        </w:rPr>
        <w:t xml:space="preserve"> Recanati</w:t>
      </w:r>
    </w:p>
    <w:p w:rsidR="00576797" w:rsidRDefault="005767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Il /La sottoscritto/a ___________________________________________, presa visione dell’Avviso 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CHIEDE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  <w:bookmarkStart w:id="0" w:name="_GoBack"/>
      <w:bookmarkEnd w:id="0"/>
      <w:r>
        <w:rPr>
          <w:rFonts w:ascii="Overlock" w:eastAsia="Overlock" w:hAnsi="Overlock" w:cs="Overlock"/>
          <w:color w:val="000000"/>
          <w:sz w:val="24"/>
          <w:szCs w:val="24"/>
        </w:rPr>
        <w:t>di poter partecipare al</w:t>
      </w:r>
      <w:r>
        <w:rPr>
          <w:rFonts w:ascii="Overlock" w:eastAsia="Overlock" w:hAnsi="Overlock" w:cs="Overlock"/>
          <w:sz w:val="24"/>
          <w:szCs w:val="24"/>
        </w:rPr>
        <w:t>la selezione pubblica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>per il conferimento dell’incarico professionale di esperto formatore in metodologia inclusiva ABA pubblicato all’albo dell’</w:t>
      </w:r>
      <w:proofErr w:type="spellStart"/>
      <w:r>
        <w:rPr>
          <w:rFonts w:ascii="Overlock" w:eastAsia="Overlock" w:hAnsi="Overlock" w:cs="Overlock"/>
          <w:sz w:val="24"/>
          <w:szCs w:val="24"/>
        </w:rPr>
        <w:t>I.C.”Gigli</w:t>
      </w:r>
      <w:proofErr w:type="spellEnd"/>
      <w:r>
        <w:rPr>
          <w:rFonts w:ascii="Overlock" w:eastAsia="Overlock" w:hAnsi="Overlock" w:cs="Overlock"/>
          <w:sz w:val="24"/>
          <w:szCs w:val="24"/>
        </w:rPr>
        <w:t>” di Recanati nel mese di ottobre 2022 per gli ambiti di formazione sotto ind</w:t>
      </w:r>
      <w:r>
        <w:rPr>
          <w:rFonts w:ascii="Overlock" w:eastAsia="Overlock" w:hAnsi="Overlock" w:cs="Overlock"/>
          <w:sz w:val="24"/>
          <w:szCs w:val="24"/>
        </w:rPr>
        <w:t>icati:</w:t>
      </w:r>
    </w:p>
    <w:p w:rsidR="00576797" w:rsidRDefault="00576797">
      <w:pPr>
        <w:spacing w:after="0" w:line="240" w:lineRule="auto"/>
        <w:rPr>
          <w:rFonts w:ascii="Overlock" w:eastAsia="Overlock" w:hAnsi="Overlock" w:cs="Overlock"/>
          <w:sz w:val="24"/>
          <w:szCs w:val="24"/>
        </w:rPr>
      </w:pPr>
    </w:p>
    <w:tbl>
      <w:tblPr>
        <w:tblStyle w:val="a"/>
        <w:tblW w:w="9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5085"/>
        <w:gridCol w:w="1230"/>
        <w:gridCol w:w="1905"/>
      </w:tblGrid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</w:rPr>
            </w:pPr>
            <w:r>
              <w:rPr>
                <w:rFonts w:ascii="Overlock" w:eastAsia="Overlock" w:hAnsi="Overlock" w:cs="Overlock"/>
                <w:b/>
              </w:rPr>
              <w:t>AMBITO n°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</w:rPr>
            </w:pPr>
            <w:r>
              <w:rPr>
                <w:rFonts w:ascii="Overlock" w:eastAsia="Overlock" w:hAnsi="Overlock" w:cs="Overlock"/>
                <w:b/>
              </w:rPr>
              <w:t>TEMATICHE AFFRONTATE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</w:rPr>
            </w:pPr>
            <w:r>
              <w:rPr>
                <w:rFonts w:ascii="Overlock" w:eastAsia="Overlock" w:hAnsi="Overlock" w:cs="Overlock"/>
                <w:b/>
              </w:rPr>
              <w:t>DURATA</w:t>
            </w:r>
          </w:p>
        </w:tc>
        <w:tc>
          <w:tcPr>
            <w:tcW w:w="190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</w:rPr>
              <w:t xml:space="preserve">CANDIDATURA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(scrivere Sì o No)</w:t>
            </w: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1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Disturbo dello spettro autistico.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2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2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 xml:space="preserve">ABA una scienza </w:t>
            </w:r>
            <w:proofErr w:type="spellStart"/>
            <w:r>
              <w:rPr>
                <w:rFonts w:ascii="Overlock" w:eastAsia="Overlock" w:hAnsi="Overlock" w:cs="Overlock"/>
                <w:sz w:val="20"/>
                <w:szCs w:val="20"/>
              </w:rPr>
              <w:t>contestualista</w:t>
            </w:r>
            <w:proofErr w:type="spellEnd"/>
            <w:r>
              <w:rPr>
                <w:rFonts w:ascii="Overlock" w:eastAsia="Overlock" w:hAnsi="Overlock" w:cs="Overlock"/>
                <w:sz w:val="20"/>
                <w:szCs w:val="20"/>
              </w:rPr>
              <w:t xml:space="preserve"> e applicabile a tutti i contesti di vita: principi, processi e procedure.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2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3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Descrivere il comportamento: topografia e funzione.</w:t>
            </w:r>
          </w:p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Descrivere l’ambiente: antecedenti e conseguenti.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2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4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Comunicazione efficace e richieste.</w:t>
            </w:r>
          </w:p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proofErr w:type="spellStart"/>
            <w:r>
              <w:rPr>
                <w:rFonts w:ascii="Overlock" w:eastAsia="Overlock" w:hAnsi="Overlock" w:cs="Overlock"/>
                <w:sz w:val="20"/>
                <w:szCs w:val="20"/>
              </w:rPr>
              <w:t>Verbal</w:t>
            </w:r>
            <w:proofErr w:type="spellEnd"/>
            <w:r>
              <w:rPr>
                <w:rFonts w:ascii="Overlock" w:eastAsia="Overlock" w:hAnsi="Overlock" w:cs="Overloc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verlock" w:eastAsia="Overlock" w:hAnsi="Overlock" w:cs="Overlock"/>
                <w:sz w:val="20"/>
                <w:szCs w:val="20"/>
              </w:rPr>
              <w:t>Behavior</w:t>
            </w:r>
            <w:proofErr w:type="spellEnd"/>
            <w:r>
              <w:rPr>
                <w:rFonts w:ascii="Overlock" w:eastAsia="Overlock" w:hAnsi="Overlock" w:cs="Overlock"/>
                <w:sz w:val="20"/>
                <w:szCs w:val="20"/>
              </w:rPr>
              <w:t xml:space="preserve"> a scuola.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2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5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Strategie per l’insegnamento di nuove abilità.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2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6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Insegnamento dei prerequisiti di ogni abilità.</w:t>
            </w:r>
          </w:p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Insegnamento delle abilità accademiche e didattiche (lettura, scrittura, calcolo), il gioco, le autonomie, il sociale.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3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7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Strumenti digitali e didattica inclusiva. CAA????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3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8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Insegnamento in ambiente naturale (NET) e insegnamento in ambiente strutturato (DTT).</w:t>
            </w:r>
          </w:p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CP: definizione del comportamento problema: topografia e funzione. Prevenire il CP: analisi funzionale e strategie di prevenzione.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3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576797">
        <w:trPr>
          <w:jc w:val="center"/>
        </w:trPr>
        <w:tc>
          <w:tcPr>
            <w:tcW w:w="975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b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sz w:val="20"/>
                <w:szCs w:val="20"/>
              </w:rPr>
              <w:t>9</w:t>
            </w:r>
          </w:p>
        </w:tc>
        <w:tc>
          <w:tcPr>
            <w:tcW w:w="5085" w:type="dxa"/>
            <w:vAlign w:val="center"/>
          </w:tcPr>
          <w:p w:rsidR="00576797" w:rsidRDefault="007A7E68">
            <w:pPr>
              <w:spacing w:after="0" w:line="240" w:lineRule="auto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Contingenze di gruppo e Token</w:t>
            </w:r>
            <w:r>
              <w:rPr>
                <w:rFonts w:ascii="Overlock" w:eastAsia="Overlock" w:hAnsi="Overlock" w:cs="Overlock"/>
                <w:sz w:val="20"/>
                <w:szCs w:val="20"/>
              </w:rPr>
              <w:t xml:space="preserve"> Economy.</w:t>
            </w:r>
          </w:p>
        </w:tc>
        <w:tc>
          <w:tcPr>
            <w:tcW w:w="1230" w:type="dxa"/>
            <w:vAlign w:val="center"/>
          </w:tcPr>
          <w:p w:rsidR="00576797" w:rsidRDefault="007A7E68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sz w:val="20"/>
                <w:szCs w:val="20"/>
              </w:rPr>
              <w:t>2 ore</w:t>
            </w:r>
          </w:p>
        </w:tc>
        <w:tc>
          <w:tcPr>
            <w:tcW w:w="1905" w:type="dxa"/>
            <w:vAlign w:val="center"/>
          </w:tcPr>
          <w:p w:rsidR="00576797" w:rsidRDefault="00576797">
            <w:pPr>
              <w:spacing w:after="0" w:line="240" w:lineRule="auto"/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</w:tbl>
    <w:p w:rsidR="00576797" w:rsidRDefault="00576797">
      <w:pP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</w:p>
    <w:p w:rsidR="00576797" w:rsidRDefault="007A7E68">
      <w:pP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 tal fine, sotto la propria personale responsabilità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DICHIARA 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nato/a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a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__________________</w:t>
      </w:r>
      <w:r>
        <w:rPr>
          <w:rFonts w:ascii="Overlock" w:eastAsia="Overlock" w:hAnsi="Overlock" w:cs="Overlock"/>
          <w:sz w:val="24"/>
          <w:szCs w:val="24"/>
        </w:rPr>
        <w:t>______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 il ____________________; 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residente a___________________________________________________________ 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lastRenderedPageBreak/>
        <w:t>Via_____________________________n._____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Prov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>. (__) Telefono ______________________;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(barrare la casella che interessa):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Overlock" w:eastAsia="Overlock" w:hAnsi="Overlock" w:cs="Overlock"/>
          <w:color w:val="000000"/>
          <w:sz w:val="24"/>
          <w:szCs w:val="24"/>
        </w:rPr>
        <w:t>essere cittadino/a italiano/a o di essere cittadino/a dello stato _______________________________ e di essere in possesso dei segue</w:t>
      </w:r>
      <w:r>
        <w:rPr>
          <w:rFonts w:ascii="Overlock" w:eastAsia="Overlock" w:hAnsi="Overlock" w:cs="Overlock"/>
          <w:color w:val="000000"/>
          <w:sz w:val="24"/>
          <w:szCs w:val="24"/>
        </w:rPr>
        <w:t>nti requisiti di cui all’art. 3 del DPCM 7.2.1994 n.174.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godere dei diritti civili e politici nello Stato di appartenenza o di provenienza, ovvero i motivi che ne impediscano o limitano il godimento ________________________________________; 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essere in possesso, fatta eccezione della cittadinanza italiana, di tutti gli altri requisiti previsti per i cittadini della Repubblica; c. avere adeguata conoscenza della lingua italiana.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essere iscritto/a nelle liste elettorali del Comune di ____________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_____________________; 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non essere iscritto/a nelle liste elettorali per il seguente motivo: ___________________________________________________________________;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in possesso dei diritti civili e politici;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in possesso del seguente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titolo di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studio:_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_______________________________; 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riportato condanne penali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aver riportato le seguenti condanne penali (indicare la data della sentenza, l’Autorità che l’ha emessa ed il reato commesso; la dichiarazione va resa anche per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le condanne condonate; vanno inoltre indicati i procedimenti penali per i quali sia intervenuta amnistia o perdono giudiziale, le eventuali condanne riportate anche a seguito di patteggiamenti, i decreti penali di condanna e comunque tutte le condanne che </w:t>
      </w:r>
      <w:r>
        <w:rPr>
          <w:rFonts w:ascii="Overlock" w:eastAsia="Overlock" w:hAnsi="Overlock" w:cs="Overlock"/>
          <w:color w:val="000000"/>
          <w:sz w:val="24"/>
          <w:szCs w:val="24"/>
        </w:rPr>
        <w:t>godono del beneficio della non menzione nel Casellario Giudiziale): ______________________________________________________________;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procedimenti penali in 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 xml:space="preserve">corso;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>aver in corso i seguenti procedimenti penali: (indicare specificatamente i procedimenti penali in corso, citando gli estremi del procedimento nonché i reati per i quali si procede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):  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______________________________________________________________________;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destituito o dispensato dall’impiego presso una pubblica amministrazione per persistente insufficiente rendimento;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dichiarato decaduto da un impiego statale per aver conseguito l’impiego stesso mediante la produzione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di documenti falsi o viziati da invalidità non sanabile; 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interdetto dai pubblici uffici in base a sentenza passata in giudicato;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fisicamente idoneo all’impiego;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autorizzare il trattamento dei dati personali per le finalit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à legate alla procedura concorsuale, ai sensi del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D.Lgs.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n. 196/2003 u) di aver preso visione del bando di concorso e di accettare tutte le clausole in esso contenute;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576797" w:rsidRDefault="007A7E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consapevole della veridicità delle dichiarazioni contenute nella domanda e </w:t>
      </w:r>
      <w:r>
        <w:rPr>
          <w:rFonts w:ascii="Overlock" w:eastAsia="Overlock" w:hAnsi="Overlock" w:cs="Overlock"/>
          <w:color w:val="000000"/>
          <w:sz w:val="24"/>
          <w:szCs w:val="24"/>
        </w:rPr>
        <w:t>di essere a conoscenza delle sanzioni penali di cui al DPR. 445/2000 in caso di false dichiarazioni.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Allega fotocopia di un documento di identità in corso di validità</w:t>
      </w:r>
      <w:r>
        <w:rPr>
          <w:rFonts w:ascii="Overlock" w:eastAsia="Overlock" w:hAnsi="Overlock" w:cs="Overlock"/>
          <w:sz w:val="24"/>
          <w:szCs w:val="24"/>
        </w:rPr>
        <w:t>.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Data__________________ </w:t>
      </w:r>
    </w:p>
    <w:p w:rsidR="00576797" w:rsidRDefault="007A7E6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95"/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 (firma autografa non autenticata)</w:t>
      </w:r>
    </w:p>
    <w:sectPr w:rsidR="00576797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7153C"/>
    <w:multiLevelType w:val="multilevel"/>
    <w:tmpl w:val="97401C88"/>
    <w:lvl w:ilvl="0">
      <w:start w:val="1"/>
      <w:numFmt w:val="bullet"/>
      <w:lvlText w:val="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97"/>
    <w:rsid w:val="00576797"/>
    <w:rsid w:val="007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1965"/>
  <w15:docId w15:val="{C69807E7-4FE8-4A7D-B0E1-563576E2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assistente7</cp:lastModifiedBy>
  <cp:revision>2</cp:revision>
  <dcterms:created xsi:type="dcterms:W3CDTF">2022-10-11T13:00:00Z</dcterms:created>
  <dcterms:modified xsi:type="dcterms:W3CDTF">2022-10-11T13:05:00Z</dcterms:modified>
</cp:coreProperties>
</file>