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2C" w:rsidRPr="00054C2C" w:rsidRDefault="00054C2C" w:rsidP="00054C2C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it-IT" w:bidi="en-US"/>
        </w:rPr>
      </w:pP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="00E334D6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="00E334D6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="00E334D6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="00642954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="00642954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INCLUDEPICTURE  "http://www.unife.it/dipartimento/medicina-sperimentale-diagnostica/sezioni-centri/sezione-di-patologia-generale/signaltransductionlab/logo-miur.jpg/image" \* MERGEFORMATINET </w:instrText>
      </w:r>
      <w:r w:rsidR="00642954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="002C4375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begin"/>
      </w:r>
      <w:r w:rsidR="002C4375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</w:instrText>
      </w:r>
      <w:r w:rsidR="002C4375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>INCLUDEPICTURE  "http://www.unife.it/dipartimento/medicina-sperimentale-diagnostica/sezioni-centri/sezione-di-patologia-generale/signaltransductionlab/logo-miur.jpg/image" \* MERGEFORMATINET</w:instrText>
      </w:r>
      <w:r w:rsidR="002C4375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instrText xml:space="preserve"> </w:instrText>
      </w:r>
      <w:r w:rsidR="002C4375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separate"/>
      </w:r>
      <w:r w:rsidR="007554A3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orrelata" style="width:60.75pt;height:40.5pt">
            <v:imagedata r:id="rId6" r:href="rId7" cropbottom="19045f"/>
          </v:shape>
        </w:pict>
      </w:r>
      <w:r w:rsidR="002C4375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="00642954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="00E334D6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  <w:r w:rsidRPr="00054C2C">
        <w:rPr>
          <w:rFonts w:ascii="Times New Roman" w:eastAsia="Arial Unicode MS" w:hAnsi="Times New Roman" w:cs="Tahoma"/>
          <w:color w:val="000000"/>
          <w:sz w:val="24"/>
          <w:szCs w:val="24"/>
          <w:lang w:eastAsia="it-IT" w:bidi="en-US"/>
        </w:rPr>
        <w:fldChar w:fldCharType="end"/>
      </w:r>
    </w:p>
    <w:p w:rsidR="00054C2C" w:rsidRPr="00054C2C" w:rsidRDefault="00054C2C" w:rsidP="00054C2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it-IT" w:bidi="en-US"/>
        </w:rPr>
      </w:pPr>
      <w:r w:rsidRPr="00054C2C">
        <w:rPr>
          <w:rFonts w:ascii="Calibri" w:eastAsia="Calibri" w:hAnsi="Calibri" w:cs="Calibri"/>
          <w:b/>
          <w:color w:val="FF0000"/>
          <w:sz w:val="28"/>
          <w:szCs w:val="28"/>
          <w:lang w:eastAsia="it-IT" w:bidi="en-US"/>
        </w:rPr>
        <w:t>${nome_scuola}</w:t>
      </w:r>
    </w:p>
    <w:p w:rsidR="00054C2C" w:rsidRPr="00054C2C" w:rsidRDefault="00054C2C" w:rsidP="00054C2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jc w:val="center"/>
        <w:rPr>
          <w:rFonts w:ascii="Calibri" w:eastAsia="Calibri" w:hAnsi="Calibri" w:cs="Calibri"/>
          <w:color w:val="000000"/>
          <w:lang w:eastAsia="it-IT" w:bidi="en-US"/>
        </w:rPr>
      </w:pPr>
      <w:r w:rsidRPr="00054C2C">
        <w:rPr>
          <w:rFonts w:ascii="Calibri" w:eastAsia="Calibri" w:hAnsi="Calibri" w:cs="Calibri"/>
          <w:color w:val="FF0000"/>
          <w:lang w:eastAsia="it-IT" w:bidi="en-US"/>
        </w:rPr>
        <w:t>${indirizzo}, ${</w:t>
      </w:r>
      <w:proofErr w:type="spellStart"/>
      <w:r w:rsidRPr="00054C2C">
        <w:rPr>
          <w:rFonts w:ascii="Calibri" w:eastAsia="Calibri" w:hAnsi="Calibri" w:cs="Calibri"/>
          <w:color w:val="FF0000"/>
          <w:lang w:eastAsia="it-IT" w:bidi="en-US"/>
        </w:rPr>
        <w:t>cap</w:t>
      </w:r>
      <w:proofErr w:type="spellEnd"/>
      <w:r w:rsidRPr="00054C2C">
        <w:rPr>
          <w:rFonts w:ascii="Calibri" w:eastAsia="Calibri" w:hAnsi="Calibri" w:cs="Calibri"/>
          <w:color w:val="FF0000"/>
          <w:lang w:eastAsia="it-IT" w:bidi="en-US"/>
        </w:rPr>
        <w:t>} ${</w:t>
      </w:r>
      <w:proofErr w:type="spellStart"/>
      <w:r w:rsidRPr="00054C2C">
        <w:rPr>
          <w:rFonts w:ascii="Calibri" w:eastAsia="Calibri" w:hAnsi="Calibri" w:cs="Calibri"/>
          <w:color w:val="FF0000"/>
          <w:lang w:eastAsia="it-IT" w:bidi="en-US"/>
        </w:rPr>
        <w:t>citta_scuola</w:t>
      </w:r>
      <w:proofErr w:type="spellEnd"/>
      <w:r w:rsidRPr="00054C2C">
        <w:rPr>
          <w:rFonts w:ascii="Calibri" w:eastAsia="Calibri" w:hAnsi="Calibri" w:cs="Calibri"/>
          <w:color w:val="FF0000"/>
          <w:lang w:eastAsia="it-IT" w:bidi="en-US"/>
        </w:rPr>
        <w:t>}</w:t>
      </w:r>
    </w:p>
    <w:p w:rsidR="00054C2C" w:rsidRPr="00054C2C" w:rsidRDefault="00054C2C" w:rsidP="00054C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3"/>
          <w:tab w:val="left" w:pos="894"/>
        </w:tabs>
        <w:suppressAutoHyphens/>
        <w:spacing w:after="0" w:line="264" w:lineRule="auto"/>
        <w:jc w:val="center"/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</w:pPr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 xml:space="preserve">Tel. </w:t>
      </w:r>
      <w:r w:rsidRPr="00054C2C">
        <w:rPr>
          <w:rFonts w:ascii="Calibri" w:eastAsia="Calibri" w:hAnsi="Calibri" w:cs="Calibri"/>
          <w:color w:val="FF0000"/>
          <w:lang w:eastAsia="it-IT" w:bidi="en-US"/>
        </w:rPr>
        <w:t>${</w:t>
      </w:r>
      <w:proofErr w:type="spellStart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telefono_</w:t>
      </w:r>
      <w:proofErr w:type="gramStart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scuola</w:t>
      </w:r>
      <w:proofErr w:type="spellEnd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}</w:t>
      </w:r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>Mail</w:t>
      </w:r>
      <w:proofErr w:type="gramEnd"/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 xml:space="preserve">: </w:t>
      </w:r>
      <w:r w:rsidRPr="00054C2C">
        <w:rPr>
          <w:rFonts w:ascii="Calibri" w:eastAsia="Calibri" w:hAnsi="Calibri" w:cs="Calibri"/>
          <w:color w:val="FF0000"/>
          <w:lang w:eastAsia="it-IT" w:bidi="en-US"/>
        </w:rPr>
        <w:t>${</w:t>
      </w:r>
      <w:proofErr w:type="spellStart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mail_scuola</w:t>
      </w:r>
      <w:proofErr w:type="spellEnd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}</w:t>
      </w:r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 xml:space="preserve"> - PEC: </w:t>
      </w:r>
      <w:r w:rsidRPr="00054C2C">
        <w:rPr>
          <w:rFonts w:ascii="Calibri" w:eastAsia="Calibri" w:hAnsi="Calibri" w:cs="Calibri"/>
          <w:color w:val="FF0000"/>
          <w:lang w:eastAsia="it-IT" w:bidi="en-US"/>
        </w:rPr>
        <w:t>${</w:t>
      </w:r>
      <w:proofErr w:type="spellStart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PEC_scuola</w:t>
      </w:r>
      <w:proofErr w:type="spellEnd"/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}</w:t>
      </w:r>
    </w:p>
    <w:p w:rsidR="00054C2C" w:rsidRDefault="00054C2C" w:rsidP="00054C2C">
      <w:pPr>
        <w:jc w:val="center"/>
        <w:rPr>
          <w:rFonts w:cstheme="minorHAnsi"/>
          <w:b/>
        </w:rPr>
      </w:pPr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 xml:space="preserve">Codice Fiscale: </w:t>
      </w:r>
      <w:r w:rsidRPr="00054C2C">
        <w:rPr>
          <w:rFonts w:ascii="Calibri" w:eastAsia="Calibri" w:hAnsi="Calibri" w:cs="Calibri"/>
          <w:color w:val="FF0000"/>
          <w:lang w:eastAsia="it-IT" w:bidi="en-US"/>
        </w:rPr>
        <w:t>${</w:t>
      </w:r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 xml:space="preserve">CF} </w:t>
      </w:r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 xml:space="preserve">- C.M.: </w:t>
      </w:r>
      <w:r w:rsidRPr="00054C2C">
        <w:rPr>
          <w:rFonts w:ascii="Calibri" w:eastAsia="Calibri" w:hAnsi="Calibri" w:cs="Calibri"/>
          <w:color w:val="FF0000"/>
          <w:lang w:eastAsia="it-IT" w:bidi="en-US"/>
        </w:rPr>
        <w:t>${</w:t>
      </w:r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meccanografico}</w:t>
      </w:r>
      <w:r w:rsidRPr="00054C2C">
        <w:rPr>
          <w:rFonts w:ascii="Calibri" w:eastAsia="Calibri" w:hAnsi="Calibri" w:cs="Calibri"/>
          <w:color w:val="000000"/>
          <w:sz w:val="20"/>
          <w:szCs w:val="20"/>
          <w:lang w:eastAsia="it-IT" w:bidi="en-US"/>
        </w:rPr>
        <w:t xml:space="preserve"> - C.U.U.: </w:t>
      </w:r>
      <w:r w:rsidRPr="00054C2C">
        <w:rPr>
          <w:rFonts w:ascii="Calibri" w:eastAsia="Calibri" w:hAnsi="Calibri" w:cs="Calibri"/>
          <w:color w:val="FF0000"/>
          <w:lang w:eastAsia="it-IT" w:bidi="en-US"/>
        </w:rPr>
        <w:t>${</w:t>
      </w:r>
      <w:r w:rsidRPr="00054C2C">
        <w:rPr>
          <w:rFonts w:ascii="Calibri" w:eastAsia="Calibri" w:hAnsi="Calibri" w:cs="Calibri"/>
          <w:color w:val="FF0000"/>
          <w:sz w:val="20"/>
          <w:szCs w:val="20"/>
          <w:lang w:eastAsia="it-IT" w:bidi="en-US"/>
        </w:rPr>
        <w:t>CUU}</w:t>
      </w:r>
    </w:p>
    <w:p w:rsidR="00054C2C" w:rsidRDefault="00054C2C" w:rsidP="00781A8C">
      <w:pPr>
        <w:rPr>
          <w:rFonts w:cstheme="minorHAnsi"/>
          <w:b/>
        </w:rPr>
      </w:pPr>
    </w:p>
    <w:p w:rsidR="00781A8C" w:rsidRPr="007030AD" w:rsidRDefault="00781A8C" w:rsidP="00781A8C">
      <w:pPr>
        <w:rPr>
          <w:rFonts w:cstheme="minorHAnsi"/>
          <w:b/>
        </w:rPr>
      </w:pPr>
      <w:proofErr w:type="spellStart"/>
      <w:r w:rsidRPr="007030AD">
        <w:rPr>
          <w:rFonts w:cstheme="minorHAnsi"/>
          <w:b/>
        </w:rPr>
        <w:t>Prot</w:t>
      </w:r>
      <w:proofErr w:type="spellEnd"/>
      <w:r w:rsidRPr="007030AD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</w:t>
      </w:r>
    </w:p>
    <w:p w:rsidR="00781A8C" w:rsidRPr="007030AD" w:rsidRDefault="00781A8C" w:rsidP="00124F4E">
      <w:pPr>
        <w:spacing w:after="0"/>
        <w:jc w:val="right"/>
        <w:rPr>
          <w:rFonts w:cstheme="minorHAnsi"/>
          <w:b/>
        </w:rPr>
      </w:pPr>
      <w:bookmarkStart w:id="0" w:name="_GoBack"/>
      <w:r w:rsidRPr="007030AD">
        <w:rPr>
          <w:rFonts w:cstheme="minorHAnsi"/>
          <w:b/>
        </w:rPr>
        <w:t>All’Albo on line</w:t>
      </w:r>
    </w:p>
    <w:p w:rsidR="00781A8C" w:rsidRDefault="00781A8C" w:rsidP="00124F4E">
      <w:pPr>
        <w:spacing w:after="0"/>
        <w:jc w:val="right"/>
        <w:rPr>
          <w:rFonts w:cstheme="minorHAnsi"/>
          <w:b/>
        </w:rPr>
      </w:pPr>
      <w:r w:rsidRPr="007030AD">
        <w:rPr>
          <w:rFonts w:cstheme="minorHAnsi"/>
          <w:b/>
        </w:rPr>
        <w:t>Alla Corte dei Conti</w:t>
      </w:r>
      <w:r w:rsidR="008C1635">
        <w:rPr>
          <w:rFonts w:cstheme="minorHAnsi"/>
          <w:b/>
        </w:rPr>
        <w:t xml:space="preserve"> Sez. regionale</w:t>
      </w:r>
    </w:p>
    <w:p w:rsidR="00124F4E" w:rsidRPr="00124F4E" w:rsidRDefault="00124F4E" w:rsidP="00124F4E">
      <w:pPr>
        <w:spacing w:after="0" w:line="240" w:lineRule="auto"/>
        <w:jc w:val="right"/>
        <w:rPr>
          <w:rFonts w:cstheme="minorHAnsi"/>
          <w:b/>
        </w:rPr>
      </w:pPr>
      <w:r w:rsidRPr="00124F4E">
        <w:rPr>
          <w:rFonts w:cstheme="minorHAnsi"/>
          <w:b/>
        </w:rPr>
        <w:t>Agli Atti</w:t>
      </w:r>
    </w:p>
    <w:p w:rsidR="00124F4E" w:rsidRPr="00124F4E" w:rsidRDefault="00124F4E" w:rsidP="00124F4E">
      <w:pPr>
        <w:spacing w:after="0" w:line="240" w:lineRule="auto"/>
        <w:jc w:val="right"/>
        <w:rPr>
          <w:rFonts w:cstheme="minorHAnsi"/>
          <w:b/>
        </w:rPr>
      </w:pPr>
      <w:proofErr w:type="spellStart"/>
      <w:r w:rsidRPr="00124F4E">
        <w:rPr>
          <w:rFonts w:cstheme="minorHAnsi"/>
          <w:b/>
        </w:rPr>
        <w:t>AgID</w:t>
      </w:r>
      <w:proofErr w:type="spellEnd"/>
      <w:r w:rsidRPr="00124F4E">
        <w:rPr>
          <w:rFonts w:cstheme="minorHAnsi"/>
          <w:b/>
        </w:rPr>
        <w:t xml:space="preserve"> (protocollo@pec.agid.gov.it)</w:t>
      </w:r>
    </w:p>
    <w:p w:rsidR="00124F4E" w:rsidRPr="00124F4E" w:rsidRDefault="00124F4E" w:rsidP="00124F4E">
      <w:pPr>
        <w:spacing w:after="0" w:line="240" w:lineRule="auto"/>
        <w:jc w:val="right"/>
        <w:rPr>
          <w:rFonts w:cstheme="minorHAnsi"/>
          <w:b/>
          <w:lang w:val="en-GB"/>
        </w:rPr>
      </w:pPr>
      <w:r w:rsidRPr="00124F4E">
        <w:rPr>
          <w:rFonts w:cstheme="minorHAnsi"/>
          <w:b/>
          <w:lang w:val="en-GB"/>
        </w:rPr>
        <w:t>ANAC (protocollo@pec.anticorruzione.it)</w:t>
      </w:r>
    </w:p>
    <w:bookmarkEnd w:id="0"/>
    <w:p w:rsidR="00124F4E" w:rsidRPr="00124F4E" w:rsidRDefault="00124F4E" w:rsidP="00124F4E">
      <w:pPr>
        <w:spacing w:after="0"/>
        <w:jc w:val="right"/>
        <w:rPr>
          <w:rFonts w:cstheme="minorHAnsi"/>
          <w:b/>
          <w:lang w:val="en-GB"/>
        </w:rPr>
      </w:pPr>
    </w:p>
    <w:p w:rsidR="00054C2C" w:rsidRPr="00124F4E" w:rsidRDefault="00054C2C" w:rsidP="00CD343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781A8C" w:rsidRPr="00124F4E" w:rsidRDefault="00781A8C" w:rsidP="00054C2C">
      <w:pPr>
        <w:pStyle w:val="Default"/>
        <w:ind w:left="851" w:hanging="851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:rsidR="00054C2C" w:rsidRPr="00E53F12" w:rsidRDefault="00781A8C" w:rsidP="00054C2C">
      <w:pPr>
        <w:spacing w:after="0" w:line="240" w:lineRule="auto"/>
        <w:ind w:left="851" w:hanging="851"/>
        <w:jc w:val="both"/>
        <w:rPr>
          <w:rFonts w:ascii="Calibri" w:eastAsia="Calibri" w:hAnsi="Calibri" w:cs="Calibri"/>
          <w:b/>
        </w:rPr>
      </w:pPr>
      <w:r w:rsidRPr="007030AD">
        <w:rPr>
          <w:rFonts w:cstheme="minorHAnsi"/>
          <w:b/>
        </w:rPr>
        <w:t xml:space="preserve">Oggetto: Deroga all'obbligo normativo di ricorso alle Convenzioni quadro stipulate da </w:t>
      </w:r>
      <w:proofErr w:type="spellStart"/>
      <w:r w:rsidRPr="007030AD">
        <w:rPr>
          <w:rFonts w:cstheme="minorHAnsi"/>
          <w:b/>
        </w:rPr>
        <w:t>Consip</w:t>
      </w:r>
      <w:proofErr w:type="spellEnd"/>
      <w:r w:rsidRPr="007030AD">
        <w:rPr>
          <w:rFonts w:cstheme="minorHAnsi"/>
          <w:b/>
        </w:rPr>
        <w:t xml:space="preserve"> S.p.A.</w:t>
      </w:r>
      <w:r w:rsidR="00054C2C">
        <w:rPr>
          <w:rFonts w:cstheme="minorHAnsi"/>
          <w:b/>
        </w:rPr>
        <w:t xml:space="preserve"> </w:t>
      </w:r>
      <w:r w:rsidR="00054C2C" w:rsidRPr="00E53F12">
        <w:rPr>
          <w:rFonts w:ascii="Calibri" w:eastAsia="Calibri" w:hAnsi="Calibri" w:cs="Calibri"/>
          <w:b/>
          <w:i/>
        </w:rPr>
        <w:t>A</w:t>
      </w:r>
      <w:r w:rsidR="00054C2C" w:rsidRPr="00E53F12">
        <w:rPr>
          <w:rFonts w:ascii="Calibri" w:eastAsia="Calibri" w:hAnsi="Calibri" w:cs="Calibri"/>
          <w:b/>
        </w:rPr>
        <w:t xml:space="preserve">vviso pubblico </w:t>
      </w:r>
      <w:proofErr w:type="spellStart"/>
      <w:r w:rsidR="00054C2C" w:rsidRPr="00E53F12">
        <w:rPr>
          <w:rFonts w:ascii="Calibri" w:eastAsia="Calibri" w:hAnsi="Calibri" w:cs="Calibri"/>
          <w:b/>
        </w:rPr>
        <w:t>prot</w:t>
      </w:r>
      <w:proofErr w:type="spellEnd"/>
      <w:r w:rsidR="00054C2C" w:rsidRPr="00E53F12">
        <w:rPr>
          <w:rFonts w:ascii="Calibri" w:eastAsia="Calibri" w:hAnsi="Calibri" w:cs="Calibri"/>
          <w:b/>
        </w:rPr>
        <w:t>. n. AOODGEFID/20480 del 20/07/2021 per la realizzazione di reti locali, cablate e wireless, nelle scuole. Fondi Strutturali Europei – Programma Operativo Nazionale “Per la scuola, competenze e ambienti per l’apprendimento” 2014-2020 - Fondo europeo di sviluppo regionale (FESR) – REACT EU.</w:t>
      </w:r>
    </w:p>
    <w:p w:rsidR="00054C2C" w:rsidRPr="00E53F12" w:rsidRDefault="00054C2C" w:rsidP="00054C2C">
      <w:pPr>
        <w:spacing w:after="0" w:line="240" w:lineRule="auto"/>
        <w:ind w:left="851"/>
        <w:jc w:val="both"/>
        <w:rPr>
          <w:rFonts w:ascii="Calibri" w:eastAsia="Calibri" w:hAnsi="Calibri" w:cs="Calibri"/>
          <w:b/>
        </w:rPr>
      </w:pPr>
      <w:r w:rsidRPr="00E53F12">
        <w:rPr>
          <w:rFonts w:ascii="Calibri" w:eastAsia="Calibri" w:hAnsi="Calibri" w:cs="Calibri"/>
          <w:b/>
        </w:rPr>
        <w:t xml:space="preserve">Titolo del progetto: </w:t>
      </w:r>
      <w:r w:rsidRPr="00E53F12">
        <w:rPr>
          <w:rFonts w:ascii="Calibri" w:eastAsia="Calibri" w:hAnsi="Calibri" w:cs="Calibri"/>
          <w:b/>
          <w:color w:val="FF0000"/>
        </w:rPr>
        <w:t>${</w:t>
      </w:r>
      <w:proofErr w:type="spellStart"/>
      <w:r w:rsidRPr="00E53F12">
        <w:rPr>
          <w:rFonts w:ascii="Calibri" w:eastAsia="Calibri" w:hAnsi="Calibri" w:cs="Calibri"/>
          <w:b/>
          <w:color w:val="FF0000"/>
        </w:rPr>
        <w:t>titolo_progetto</w:t>
      </w:r>
      <w:proofErr w:type="spellEnd"/>
      <w:r w:rsidRPr="00E53F12">
        <w:rPr>
          <w:rFonts w:ascii="Calibri" w:eastAsia="Calibri" w:hAnsi="Calibri" w:cs="Calibri"/>
          <w:b/>
          <w:color w:val="FF0000"/>
        </w:rPr>
        <w:t>};</w:t>
      </w:r>
    </w:p>
    <w:p w:rsidR="00054C2C" w:rsidRPr="00E53F12" w:rsidRDefault="00054C2C" w:rsidP="00054C2C">
      <w:pPr>
        <w:spacing w:after="0" w:line="240" w:lineRule="auto"/>
        <w:ind w:left="851"/>
        <w:jc w:val="both"/>
        <w:rPr>
          <w:rFonts w:ascii="Calibri" w:eastAsia="Calibri" w:hAnsi="Calibri" w:cs="Calibri"/>
          <w:u w:val="single"/>
        </w:rPr>
      </w:pPr>
      <w:r w:rsidRPr="00E53F12">
        <w:rPr>
          <w:rFonts w:ascii="Calibri" w:eastAsia="Calibri" w:hAnsi="Calibri" w:cs="Calibri"/>
          <w:b/>
        </w:rPr>
        <w:t xml:space="preserve">Codice Progetto: </w:t>
      </w:r>
      <w:r w:rsidRPr="00E53F12">
        <w:rPr>
          <w:rFonts w:ascii="Calibri" w:eastAsia="Calibri" w:hAnsi="Calibri" w:cs="Calibri"/>
          <w:b/>
          <w:color w:val="FF0000"/>
        </w:rPr>
        <w:t>${</w:t>
      </w:r>
      <w:proofErr w:type="spellStart"/>
      <w:r w:rsidRPr="00E53F12">
        <w:rPr>
          <w:rFonts w:ascii="Calibri" w:eastAsia="Calibri" w:hAnsi="Calibri" w:cs="Calibri"/>
          <w:b/>
          <w:color w:val="FF0000"/>
        </w:rPr>
        <w:t>codice_progetto</w:t>
      </w:r>
      <w:proofErr w:type="spellEnd"/>
      <w:r w:rsidRPr="00E53F12">
        <w:rPr>
          <w:rFonts w:ascii="Calibri" w:eastAsia="Calibri" w:hAnsi="Calibri" w:cs="Calibri"/>
          <w:b/>
          <w:color w:val="FF0000"/>
        </w:rPr>
        <w:t>};</w:t>
      </w:r>
    </w:p>
    <w:p w:rsidR="00054C2C" w:rsidRDefault="00054C2C" w:rsidP="00054C2C">
      <w:pPr>
        <w:spacing w:after="0" w:line="240" w:lineRule="auto"/>
        <w:ind w:left="851" w:hanging="851"/>
        <w:jc w:val="both"/>
        <w:rPr>
          <w:rFonts w:cstheme="minorHAnsi"/>
          <w:b/>
        </w:rPr>
      </w:pPr>
      <w:r w:rsidRPr="00E53F12">
        <w:rPr>
          <w:rFonts w:ascii="Calibri" w:eastAsia="Calibri" w:hAnsi="Calibri" w:cs="Calibri"/>
          <w:b/>
        </w:rPr>
        <w:tab/>
        <w:t>CUP:</w:t>
      </w:r>
      <w:r w:rsidRPr="00E53F12">
        <w:rPr>
          <w:rFonts w:ascii="Calibri" w:eastAsia="Calibri" w:hAnsi="Calibri" w:cs="Calibri"/>
          <w:b/>
          <w:color w:val="FF0000"/>
        </w:rPr>
        <w:t xml:space="preserve"> ${CUP};</w:t>
      </w:r>
    </w:p>
    <w:p w:rsidR="00054C2C" w:rsidRPr="007030AD" w:rsidRDefault="00054C2C" w:rsidP="00781A8C">
      <w:pPr>
        <w:rPr>
          <w:rFonts w:cstheme="minorHAnsi"/>
          <w:b/>
        </w:rPr>
      </w:pPr>
    </w:p>
    <w:p w:rsidR="00CC2882" w:rsidRPr="00CD3431" w:rsidRDefault="00781A8C" w:rsidP="00124F4E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  <w:b/>
        </w:rPr>
      </w:pPr>
      <w:r w:rsidRPr="007030AD">
        <w:rPr>
          <w:rFonts w:cstheme="minorHAnsi"/>
        </w:rPr>
        <w:t xml:space="preserve">Dichiarazione NON utilizzo delle Convenzioni </w:t>
      </w:r>
      <w:proofErr w:type="spellStart"/>
      <w:r w:rsidRPr="007030AD">
        <w:rPr>
          <w:rFonts w:cstheme="minorHAnsi"/>
        </w:rPr>
        <w:t>Consip</w:t>
      </w:r>
      <w:proofErr w:type="spellEnd"/>
      <w:r w:rsidRPr="007030AD">
        <w:rPr>
          <w:rFonts w:cstheme="minorHAnsi"/>
        </w:rPr>
        <w:t xml:space="preserve"> S.p.A. ai fini dell'approvvigionamento di</w:t>
      </w:r>
      <w:r w:rsidR="007030AD">
        <w:rPr>
          <w:rFonts w:cstheme="minorHAnsi"/>
        </w:rPr>
        <w:t xml:space="preserve"> </w:t>
      </w:r>
      <w:r w:rsidRPr="007030AD">
        <w:rPr>
          <w:rFonts w:cstheme="minorHAnsi"/>
        </w:rPr>
        <w:t>beni</w:t>
      </w:r>
      <w:r w:rsidR="00CD3431">
        <w:rPr>
          <w:rFonts w:cstheme="minorHAnsi"/>
        </w:rPr>
        <w:t xml:space="preserve"> </w:t>
      </w:r>
      <w:r w:rsidRPr="007030AD">
        <w:rPr>
          <w:rFonts w:cstheme="minorHAnsi"/>
        </w:rPr>
        <w:t>informatici e del cablaggio di rete degli istituti scolastici ed edifici annessi nell'ambito delle risorse dell’ Avviso pubblico prot.n. 20480 del 20/07/2021  per la realizzazione di reti locali, cablate e wireless, nelle scuole</w:t>
      </w:r>
      <w:r w:rsidR="00CC2882" w:rsidRPr="007030AD">
        <w:rPr>
          <w:rFonts w:cstheme="minorHAnsi"/>
          <w:b/>
          <w:i/>
        </w:rPr>
        <w:t xml:space="preserve"> </w:t>
      </w:r>
      <w:r w:rsidR="00CC2882" w:rsidRPr="00CD3431">
        <w:rPr>
          <w:rFonts w:cstheme="minorHAnsi"/>
          <w:b/>
        </w:rPr>
        <w:t>in deroga</w:t>
      </w:r>
      <w:r w:rsidR="00CD3431" w:rsidRPr="00CD3431">
        <w:rPr>
          <w:rFonts w:cstheme="minorHAnsi"/>
          <w:b/>
        </w:rPr>
        <w:t xml:space="preserve"> </w:t>
      </w:r>
      <w:proofErr w:type="spellStart"/>
      <w:r w:rsidR="00CD3431" w:rsidRPr="00CD3431">
        <w:rPr>
          <w:rFonts w:cstheme="minorHAnsi"/>
          <w:b/>
        </w:rPr>
        <w:t>all</w:t>
      </w:r>
      <w:proofErr w:type="spellEnd"/>
      <w:r w:rsidR="00CD3431" w:rsidRPr="00CD3431">
        <w:rPr>
          <w:rFonts w:cstheme="minorHAnsi"/>
          <w:b/>
        </w:rPr>
        <w:t xml:space="preserve"> legge 108/2021 di conversione del Decreto Legge n° 77 del 31 maggio 2021 cosiddetto decreto semplificazioni Bis in particolare  </w:t>
      </w:r>
      <w:r w:rsidR="00CC2882" w:rsidRPr="00CD3431">
        <w:rPr>
          <w:rFonts w:cstheme="minorHAnsi"/>
          <w:b/>
        </w:rPr>
        <w:t>ai sensi dell’art. 55 comma 1 lettera b)</w:t>
      </w:r>
    </w:p>
    <w:p w:rsidR="00781A8C" w:rsidRPr="007030AD" w:rsidRDefault="00781A8C" w:rsidP="00781A8C">
      <w:pPr>
        <w:rPr>
          <w:rFonts w:cstheme="minorHAnsi"/>
        </w:rPr>
      </w:pPr>
    </w:p>
    <w:p w:rsidR="00781A8C" w:rsidRPr="00CD3431" w:rsidRDefault="00781A8C" w:rsidP="007030AD">
      <w:pPr>
        <w:jc w:val="center"/>
        <w:rPr>
          <w:rFonts w:cstheme="minorHAnsi"/>
          <w:b/>
        </w:rPr>
      </w:pPr>
      <w:r w:rsidRPr="00CD3431">
        <w:rPr>
          <w:rFonts w:cstheme="minorHAnsi"/>
          <w:b/>
        </w:rPr>
        <w:t>IL DIRIGENTE SCOLASTICO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eastAsia="Times New Roman" w:cstheme="minorHAnsi"/>
          <w:bCs/>
        </w:rPr>
      </w:pPr>
      <w:r w:rsidRPr="007030AD">
        <w:rPr>
          <w:rFonts w:eastAsia="Times New Roman" w:cstheme="minorHAnsi"/>
          <w:bCs/>
        </w:rPr>
        <w:t>TENUTO CONTO delle funzioni e dei poteri del Dirigente Scolastico in materia negoziale, come definiti</w:t>
      </w:r>
      <w:r w:rsidR="007030AD">
        <w:rPr>
          <w:rFonts w:eastAsia="Times New Roman" w:cstheme="minorHAnsi"/>
          <w:bCs/>
        </w:rPr>
        <w:t xml:space="preserve"> </w:t>
      </w:r>
      <w:r w:rsidRPr="007030AD">
        <w:rPr>
          <w:rFonts w:eastAsia="Times New Roman" w:cstheme="minorHAnsi"/>
          <w:bCs/>
        </w:rPr>
        <w:t>dall'articolo 25, comma 2, del decreto legislativo 30 marzo 2001, n. 165, dall’articolo 1, comma 78, della legge n. 107 del 2015 e dagli articoli 3 e 44 del succitato D.I. 129/2018;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eastAsia="Times New Roman" w:cstheme="minorHAnsi"/>
          <w:bCs/>
        </w:rPr>
      </w:pPr>
      <w:r w:rsidRPr="007030AD">
        <w:rPr>
          <w:rFonts w:eastAsia="Times New Roman" w:cstheme="minorHAnsi"/>
          <w:bCs/>
        </w:rPr>
        <w:t>VISTA</w:t>
      </w:r>
      <w:r w:rsidRPr="007030AD">
        <w:rPr>
          <w:rFonts w:eastAsia="Times New Roman" w:cstheme="minorHAnsi"/>
          <w:bCs/>
        </w:rPr>
        <w:tab/>
        <w:t>la Legge 13 luglio 2015, n. 107 recante “Riforma del sistema nazionale di istruzione e formazione e delega per il riordino delle disposizioni legislative vigenti”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eastAsia="Times New Roman" w:cstheme="minorHAnsi"/>
          <w:bCs/>
        </w:rPr>
      </w:pPr>
      <w:r w:rsidRPr="007030AD">
        <w:rPr>
          <w:rFonts w:eastAsia="Times New Roman" w:cstheme="minorHAnsi"/>
          <w:bCs/>
        </w:rPr>
        <w:t xml:space="preserve">VISTO </w:t>
      </w:r>
      <w:r w:rsidRPr="007030AD">
        <w:rPr>
          <w:rFonts w:eastAsia="Times New Roman" w:cstheme="minorHAnsi"/>
          <w:bCs/>
        </w:rPr>
        <w:tab/>
        <w:t xml:space="preserve">l’art. 1, comma 449 della L. 296 del 2006, come modificato dall’art. 1, comma 495, L. n. 208 del 2015, che prevede che tutte le amministrazioni statali centrali e periferiche, ivi comprese le scuole di ogni ordine e grado, sono tenute ad approvvigionarsi utilizzando le convenzioni stipulate da </w:t>
      </w:r>
      <w:proofErr w:type="spellStart"/>
      <w:r w:rsidRPr="007030AD">
        <w:rPr>
          <w:rFonts w:eastAsia="Times New Roman" w:cstheme="minorHAnsi"/>
          <w:bCs/>
        </w:rPr>
        <w:t>Consip</w:t>
      </w:r>
      <w:proofErr w:type="spellEnd"/>
      <w:r w:rsidRPr="007030AD">
        <w:rPr>
          <w:rFonts w:eastAsia="Times New Roman" w:cstheme="minorHAnsi"/>
          <w:bCs/>
        </w:rPr>
        <w:t xml:space="preserve"> S.p.A.;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</w:rPr>
      </w:pPr>
      <w:r w:rsidRPr="007030AD">
        <w:rPr>
          <w:rFonts w:cstheme="minorHAnsi"/>
        </w:rPr>
        <w:t>VISTO</w:t>
      </w:r>
      <w:r w:rsidRPr="007030AD">
        <w:rPr>
          <w:rFonts w:cstheme="minorHAnsi"/>
        </w:rPr>
        <w:tab/>
        <w:t xml:space="preserve">Il Decreto n° 76/2020 cosiddetto “Decreto Semplificazioni” e la successiva legge di </w:t>
      </w:r>
      <w:r w:rsidRPr="007030AD">
        <w:rPr>
          <w:rFonts w:cstheme="minorHAnsi"/>
        </w:rPr>
        <w:lastRenderedPageBreak/>
        <w:t>conversione n° 120/2020 che instituisce un regime derogatorio a partire dalla entrata in vigore del decreto fino alla scadenza del 31/12/2021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</w:rPr>
      </w:pPr>
      <w:r w:rsidRPr="007030AD">
        <w:rPr>
          <w:rFonts w:cstheme="minorHAnsi"/>
        </w:rPr>
        <w:t>VISTO</w:t>
      </w:r>
      <w:r w:rsidRPr="007030AD">
        <w:rPr>
          <w:rFonts w:cstheme="minorHAnsi"/>
        </w:rPr>
        <w:tab/>
        <w:t xml:space="preserve">in particolare l’articolo 1 comma 2 lettera 2) che eleva il limite per gli affidamenti diretti “anche senza previa consultazione di due o più operatori economici” a euro 75.000,00 </w:t>
      </w:r>
    </w:p>
    <w:p w:rsidR="00CC2882" w:rsidRPr="00CD3431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  <w:b/>
        </w:rPr>
      </w:pPr>
      <w:r w:rsidRPr="00CD3431">
        <w:rPr>
          <w:rFonts w:cstheme="minorHAnsi"/>
          <w:b/>
        </w:rPr>
        <w:t>VIST</w:t>
      </w:r>
      <w:r w:rsidR="00CD3431">
        <w:rPr>
          <w:rFonts w:cstheme="minorHAnsi"/>
          <w:b/>
        </w:rPr>
        <w:t>A</w:t>
      </w:r>
      <w:r w:rsidRPr="00CD3431">
        <w:rPr>
          <w:rFonts w:cstheme="minorHAnsi"/>
          <w:b/>
        </w:rPr>
        <w:tab/>
        <w:t>La legge 108/2021 di conversione del Decreto Legge n° 77 del 31 maggio 2021 cosiddetto decreto semplificazioni Bis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  <w:b/>
          <w:bCs/>
          <w:iCs/>
        </w:rPr>
      </w:pPr>
      <w:r w:rsidRPr="007030AD">
        <w:rPr>
          <w:rFonts w:cstheme="minorHAnsi"/>
          <w:b/>
          <w:bCs/>
          <w:iCs/>
        </w:rPr>
        <w:t>VISTO</w:t>
      </w:r>
      <w:r w:rsidRPr="007030AD">
        <w:rPr>
          <w:rFonts w:cstheme="minorHAnsi"/>
          <w:b/>
          <w:bCs/>
          <w:iCs/>
        </w:rPr>
        <w:tab/>
        <w:t xml:space="preserve">in particolare l’articolo 51 comma 1 lettera a) punto 2. che eleva il limite per gli affidamenti diretti “anche senza previa consultazione di due o più operatori economici” a euro 139.000,00 euro 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  <w:b/>
          <w:bCs/>
          <w:iCs/>
        </w:rPr>
      </w:pPr>
      <w:r w:rsidRPr="007030AD">
        <w:rPr>
          <w:rFonts w:cstheme="minorHAnsi"/>
          <w:b/>
          <w:bCs/>
          <w:iCs/>
        </w:rPr>
        <w:t>VISTO</w:t>
      </w:r>
      <w:r w:rsidRPr="007030AD">
        <w:rPr>
          <w:rFonts w:cstheme="minorHAnsi"/>
          <w:b/>
          <w:bCs/>
          <w:iCs/>
        </w:rPr>
        <w:tab/>
        <w:t xml:space="preserve">in particolare l’articolo 51 comma 1 lettera a) punto 1. che eleva il limite per gli affidamenti diretti “anche senza previa consultazione di due o più operatori economici” a euro 139.000,00 euro 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  <w:b/>
          <w:bCs/>
          <w:iCs/>
        </w:rPr>
      </w:pPr>
      <w:r w:rsidRPr="007030AD">
        <w:rPr>
          <w:rFonts w:cstheme="minorHAnsi"/>
          <w:b/>
          <w:bCs/>
          <w:iCs/>
        </w:rPr>
        <w:t>VISTO</w:t>
      </w:r>
      <w:r w:rsidRPr="007030AD">
        <w:rPr>
          <w:rFonts w:cstheme="minorHAnsi"/>
          <w:b/>
          <w:bCs/>
          <w:iCs/>
        </w:rPr>
        <w:tab/>
      </w:r>
      <w:bookmarkStart w:id="1" w:name="_Hlk88391667"/>
      <w:r w:rsidRPr="007030AD">
        <w:rPr>
          <w:rFonts w:cstheme="minorHAnsi"/>
          <w:b/>
          <w:bCs/>
          <w:iCs/>
        </w:rPr>
        <w:t>in particolare l’art, 55 comma 1 lettera b)</w:t>
      </w:r>
      <w:bookmarkEnd w:id="1"/>
      <w:r w:rsidRPr="007030AD">
        <w:rPr>
          <w:rFonts w:cstheme="minorHAnsi"/>
          <w:b/>
          <w:bCs/>
          <w:iCs/>
        </w:rPr>
        <w:t xml:space="preserve"> punto 2. che autorizza il Dirigente Scolastico ad operare in deroga alle disposizioni del Consiglio di istituto di cui all’art. 45 comma 2 lettera a)</w:t>
      </w:r>
    </w:p>
    <w:p w:rsidR="00CC2882" w:rsidRPr="007030AD" w:rsidRDefault="00CC2882" w:rsidP="00124F4E">
      <w:pPr>
        <w:widowControl w:val="0"/>
        <w:overflowPunct w:val="0"/>
        <w:autoSpaceDE w:val="0"/>
        <w:autoSpaceDN w:val="0"/>
        <w:adjustRightInd w:val="0"/>
        <w:spacing w:after="120"/>
        <w:ind w:left="1560" w:hanging="1560"/>
        <w:jc w:val="both"/>
        <w:textAlignment w:val="baseline"/>
        <w:rPr>
          <w:rFonts w:cstheme="minorHAnsi"/>
          <w:b/>
          <w:bCs/>
          <w:iCs/>
        </w:rPr>
      </w:pPr>
      <w:r w:rsidRPr="007030AD">
        <w:rPr>
          <w:rFonts w:cstheme="minorHAnsi"/>
          <w:b/>
          <w:bCs/>
          <w:iCs/>
        </w:rPr>
        <w:t>VISTO</w:t>
      </w:r>
      <w:r w:rsidRPr="007030AD">
        <w:rPr>
          <w:rFonts w:cstheme="minorHAnsi"/>
          <w:b/>
          <w:bCs/>
          <w:iCs/>
        </w:rPr>
        <w:tab/>
        <w:t>in particolare l’art, 55 comma 1 lettera b) punto 1. che autorizza il Dirigente scolastico, laddove ne ricorrano le esigenze, ad operare anche al di fuori degli obblighi definiti all’art. 1 comma 449 e comma 450 della legge 296/2006</w:t>
      </w:r>
    </w:p>
    <w:p w:rsidR="007030AD" w:rsidRPr="007030AD" w:rsidRDefault="00CC2882" w:rsidP="00124F4E">
      <w:pPr>
        <w:autoSpaceDE w:val="0"/>
        <w:autoSpaceDN w:val="0"/>
        <w:adjustRightInd w:val="0"/>
        <w:spacing w:after="120"/>
        <w:ind w:left="1560" w:hanging="1560"/>
        <w:jc w:val="both"/>
        <w:rPr>
          <w:rFonts w:cstheme="minorHAnsi"/>
        </w:rPr>
      </w:pPr>
      <w:r w:rsidRPr="007030AD">
        <w:rPr>
          <w:rFonts w:cstheme="minorHAnsi"/>
          <w:color w:val="000000"/>
          <w:lang w:eastAsia="it-IT"/>
        </w:rPr>
        <w:t xml:space="preserve">VISTO </w:t>
      </w:r>
      <w:r w:rsidRPr="007030AD">
        <w:rPr>
          <w:rFonts w:cstheme="minorHAnsi"/>
          <w:color w:val="000000"/>
          <w:lang w:eastAsia="it-IT"/>
        </w:rPr>
        <w:tab/>
        <w:t xml:space="preserve">l’avviso </w:t>
      </w:r>
      <w:proofErr w:type="spellStart"/>
      <w:r w:rsidRPr="007030AD">
        <w:rPr>
          <w:rFonts w:cstheme="minorHAnsi"/>
          <w:color w:val="000000"/>
          <w:lang w:eastAsia="it-IT"/>
        </w:rPr>
        <w:t>prot</w:t>
      </w:r>
      <w:proofErr w:type="spellEnd"/>
      <w:r w:rsidRPr="007030AD">
        <w:rPr>
          <w:rFonts w:cstheme="minorHAnsi"/>
          <w:color w:val="000000"/>
          <w:lang w:eastAsia="it-IT"/>
        </w:rPr>
        <w:t xml:space="preserve">. n° </w:t>
      </w:r>
      <w:proofErr w:type="spellStart"/>
      <w:r w:rsidRPr="007030AD">
        <w:rPr>
          <w:rFonts w:cstheme="minorHAnsi"/>
          <w:color w:val="000000"/>
          <w:lang w:eastAsia="it-IT"/>
        </w:rPr>
        <w:t>prot</w:t>
      </w:r>
      <w:proofErr w:type="spellEnd"/>
      <w:r w:rsidRPr="007030AD">
        <w:rPr>
          <w:rFonts w:cstheme="minorHAnsi"/>
          <w:color w:val="000000"/>
          <w:lang w:eastAsia="it-IT"/>
        </w:rPr>
        <w:t xml:space="preserve">. n. </w:t>
      </w:r>
      <w:r w:rsidR="007030AD" w:rsidRPr="007030AD">
        <w:rPr>
          <w:rFonts w:cstheme="minorHAnsi"/>
          <w:color w:val="000000"/>
          <w:lang w:eastAsia="it-IT"/>
        </w:rPr>
        <w:t>20480 del 20-07-2021</w:t>
      </w:r>
      <w:r w:rsidRPr="007030AD">
        <w:rPr>
          <w:rFonts w:cstheme="minorHAnsi"/>
          <w:color w:val="000000"/>
          <w:lang w:eastAsia="it-IT"/>
        </w:rPr>
        <w:t xml:space="preserve"> </w:t>
      </w:r>
      <w:r w:rsidRPr="007030AD">
        <w:rPr>
          <w:rFonts w:cstheme="minorHAnsi"/>
          <w:bCs/>
          <w:color w:val="000000"/>
          <w:lang w:eastAsia="it-IT"/>
        </w:rPr>
        <w:t xml:space="preserve">– </w:t>
      </w:r>
      <w:r w:rsidR="007030AD" w:rsidRPr="007030AD">
        <w:rPr>
          <w:rFonts w:cstheme="minorHAnsi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</w:t>
      </w:r>
    </w:p>
    <w:p w:rsidR="00CC2882" w:rsidRPr="00CD3431" w:rsidRDefault="00CC2882" w:rsidP="00124F4E">
      <w:pPr>
        <w:autoSpaceDE w:val="0"/>
        <w:autoSpaceDN w:val="0"/>
        <w:adjustRightInd w:val="0"/>
        <w:spacing w:after="120"/>
        <w:ind w:left="1560" w:hanging="1560"/>
        <w:jc w:val="both"/>
        <w:rPr>
          <w:rFonts w:cstheme="minorHAnsi"/>
        </w:rPr>
      </w:pPr>
      <w:r w:rsidRPr="007030AD">
        <w:rPr>
          <w:rFonts w:cstheme="minorHAnsi"/>
        </w:rPr>
        <w:t>VISTO</w:t>
      </w:r>
      <w:r w:rsidRPr="007030AD">
        <w:rPr>
          <w:rFonts w:cstheme="minorHAnsi"/>
        </w:rPr>
        <w:tab/>
      </w:r>
      <w:r w:rsidRPr="00CD3431">
        <w:rPr>
          <w:rFonts w:cstheme="minorHAnsi"/>
          <w:highlight w:val="yellow"/>
        </w:rPr>
        <w:t xml:space="preserve">La nota autorizzativa </w:t>
      </w:r>
      <w:proofErr w:type="spellStart"/>
      <w:r w:rsidRPr="00CD3431">
        <w:rPr>
          <w:rFonts w:cstheme="minorHAnsi"/>
          <w:highlight w:val="yellow"/>
        </w:rPr>
        <w:t>prot</w:t>
      </w:r>
      <w:proofErr w:type="spellEnd"/>
      <w:r w:rsidRPr="00CD3431">
        <w:rPr>
          <w:rFonts w:cstheme="minorHAnsi"/>
          <w:highlight w:val="yellow"/>
        </w:rPr>
        <w:t>. n° AOODGEFID/________ del ___________ che determina l’avvio delle attività e il contestuale avvio della spesa</w:t>
      </w:r>
    </w:p>
    <w:p w:rsidR="00124F4E" w:rsidRDefault="00CC2882" w:rsidP="00124F4E">
      <w:pPr>
        <w:autoSpaceDE w:val="0"/>
        <w:autoSpaceDN w:val="0"/>
        <w:adjustRightInd w:val="0"/>
        <w:spacing w:after="120"/>
        <w:ind w:left="1560" w:hanging="1560"/>
        <w:jc w:val="both"/>
        <w:rPr>
          <w:rFonts w:cstheme="minorHAnsi"/>
        </w:rPr>
      </w:pPr>
      <w:r w:rsidRPr="007030AD">
        <w:rPr>
          <w:rFonts w:cstheme="minorHAnsi"/>
        </w:rPr>
        <w:t xml:space="preserve">VISTA           </w:t>
      </w:r>
      <w:r w:rsidR="00CD3431">
        <w:rPr>
          <w:rFonts w:cstheme="minorHAnsi"/>
        </w:rPr>
        <w:t xml:space="preserve">         </w:t>
      </w:r>
      <w:r w:rsidRPr="007030AD">
        <w:rPr>
          <w:rFonts w:cstheme="minorHAnsi"/>
        </w:rPr>
        <w:t xml:space="preserve"> </w:t>
      </w:r>
      <w:r w:rsidR="00781A8C" w:rsidRPr="007030AD">
        <w:rPr>
          <w:rFonts w:cstheme="minorHAnsi"/>
        </w:rPr>
        <w:t xml:space="preserve">la convenzione attiva su </w:t>
      </w:r>
      <w:proofErr w:type="spellStart"/>
      <w:r w:rsidR="00781A8C" w:rsidRPr="007030AD">
        <w:rPr>
          <w:rFonts w:cstheme="minorHAnsi"/>
        </w:rPr>
        <w:t>Consip</w:t>
      </w:r>
      <w:proofErr w:type="spellEnd"/>
      <w:r w:rsidR="00781A8C" w:rsidRPr="007030AD">
        <w:rPr>
          <w:rFonts w:cstheme="minorHAnsi"/>
        </w:rPr>
        <w:t xml:space="preserve"> Reti Locali 7 di </w:t>
      </w:r>
      <w:r w:rsidRPr="007030AD">
        <w:rPr>
          <w:rFonts w:cstheme="minorHAnsi"/>
        </w:rPr>
        <w:t xml:space="preserve">Vodafone </w:t>
      </w:r>
      <w:r w:rsidRPr="00124F4E">
        <w:rPr>
          <w:rFonts w:cstheme="minorHAnsi"/>
        </w:rPr>
        <w:t>Italia</w:t>
      </w:r>
      <w:r w:rsidR="00781A8C" w:rsidRPr="00124F4E">
        <w:rPr>
          <w:rFonts w:cstheme="minorHAnsi"/>
        </w:rPr>
        <w:t xml:space="preserve"> </w:t>
      </w:r>
    </w:p>
    <w:p w:rsidR="00781A8C" w:rsidRPr="007030AD" w:rsidRDefault="00781A8C" w:rsidP="00124F4E">
      <w:pPr>
        <w:autoSpaceDE w:val="0"/>
        <w:autoSpaceDN w:val="0"/>
        <w:adjustRightInd w:val="0"/>
        <w:spacing w:after="120"/>
        <w:ind w:left="1560" w:hanging="1560"/>
        <w:jc w:val="both"/>
        <w:rPr>
          <w:rFonts w:cstheme="minorHAnsi"/>
        </w:rPr>
      </w:pPr>
      <w:r w:rsidRPr="007030AD">
        <w:rPr>
          <w:rFonts w:cstheme="minorHAnsi"/>
        </w:rPr>
        <w:t>VISTO</w:t>
      </w:r>
      <w:r w:rsidR="00CD3431">
        <w:rPr>
          <w:rFonts w:cstheme="minorHAnsi"/>
        </w:rPr>
        <w:t xml:space="preserve">                  </w:t>
      </w:r>
      <w:r w:rsidRPr="007030AD">
        <w:rPr>
          <w:rFonts w:cstheme="minorHAnsi"/>
        </w:rPr>
        <w:t xml:space="preserve"> il Capitolato tecnico della convenzione attiva su </w:t>
      </w:r>
      <w:proofErr w:type="spellStart"/>
      <w:r w:rsidRPr="007030AD">
        <w:rPr>
          <w:rFonts w:cstheme="minorHAnsi"/>
        </w:rPr>
        <w:t>Consip</w:t>
      </w:r>
      <w:proofErr w:type="spellEnd"/>
      <w:r w:rsidRPr="007030AD">
        <w:rPr>
          <w:rFonts w:cstheme="minorHAnsi"/>
        </w:rPr>
        <w:t xml:space="preserve"> alla data odierna, descrittivo delle specifiche tecniche dei</w:t>
      </w:r>
      <w:r w:rsidR="00CC2882" w:rsidRPr="007030AD">
        <w:rPr>
          <w:rFonts w:cstheme="minorHAnsi"/>
        </w:rPr>
        <w:t xml:space="preserve"> </w:t>
      </w:r>
      <w:r w:rsidRPr="007030AD">
        <w:rPr>
          <w:rFonts w:cstheme="minorHAnsi"/>
        </w:rPr>
        <w:t>prodotti a catalogo nel quale si rinvengono caratteristiche tecniche differenti da quanto precipuamente necessita</w:t>
      </w:r>
      <w:r w:rsidR="00CC2882" w:rsidRPr="007030AD">
        <w:rPr>
          <w:rFonts w:cstheme="minorHAnsi"/>
        </w:rPr>
        <w:t xml:space="preserve"> </w:t>
      </w:r>
      <w:r w:rsidRPr="007030AD">
        <w:rPr>
          <w:rFonts w:cstheme="minorHAnsi"/>
        </w:rPr>
        <w:t>al</w:t>
      </w:r>
      <w:r w:rsidR="00CC2882" w:rsidRPr="007030AD">
        <w:rPr>
          <w:rFonts w:cstheme="minorHAnsi"/>
        </w:rPr>
        <w:t xml:space="preserve"> nostro Istituto</w:t>
      </w:r>
      <w:r w:rsidR="007030AD" w:rsidRPr="007030AD">
        <w:rPr>
          <w:rFonts w:cstheme="minorHAnsi"/>
        </w:rPr>
        <w:t>, che i costi accessori non sono adeguati,</w:t>
      </w:r>
    </w:p>
    <w:p w:rsidR="00CC2882" w:rsidRPr="007030AD" w:rsidRDefault="00CC2882" w:rsidP="00124F4E">
      <w:pPr>
        <w:autoSpaceDE w:val="0"/>
        <w:autoSpaceDN w:val="0"/>
        <w:adjustRightInd w:val="0"/>
        <w:spacing w:after="120"/>
        <w:ind w:left="1560" w:hanging="1560"/>
        <w:jc w:val="both"/>
        <w:rPr>
          <w:rFonts w:cstheme="minorHAnsi"/>
        </w:rPr>
      </w:pPr>
      <w:r w:rsidRPr="007030AD">
        <w:rPr>
          <w:rFonts w:cstheme="minorHAnsi"/>
        </w:rPr>
        <w:t>CONSIDER</w:t>
      </w:r>
      <w:r w:rsidR="007030AD" w:rsidRPr="007030AD">
        <w:rPr>
          <w:rFonts w:cstheme="minorHAnsi"/>
        </w:rPr>
        <w:t>A</w:t>
      </w:r>
      <w:r w:rsidR="00781A8C" w:rsidRPr="007030AD">
        <w:rPr>
          <w:rFonts w:cstheme="minorHAnsi"/>
        </w:rPr>
        <w:t>TE</w:t>
      </w:r>
      <w:r w:rsidR="007030AD" w:rsidRPr="007030AD">
        <w:rPr>
          <w:rFonts w:cstheme="minorHAnsi"/>
        </w:rPr>
        <w:t xml:space="preserve"> </w:t>
      </w:r>
      <w:r w:rsidR="00124F4E">
        <w:rPr>
          <w:rFonts w:cstheme="minorHAnsi"/>
        </w:rPr>
        <w:t xml:space="preserve">    </w:t>
      </w:r>
      <w:r w:rsidR="00781A8C" w:rsidRPr="007030AD">
        <w:rPr>
          <w:rFonts w:cstheme="minorHAnsi"/>
        </w:rPr>
        <w:t>le fasi di svolgimento della procedura d</w:t>
      </w:r>
      <w:r w:rsidR="00CD3431">
        <w:rPr>
          <w:rFonts w:cstheme="minorHAnsi"/>
        </w:rPr>
        <w:t xml:space="preserve">i </w:t>
      </w:r>
      <w:r w:rsidR="00781A8C" w:rsidRPr="007030AD">
        <w:rPr>
          <w:rFonts w:cstheme="minorHAnsi"/>
        </w:rPr>
        <w:t>valutazione/progettazione/esecuzione/collaudo, della fornitura come previste</w:t>
      </w:r>
      <w:r w:rsidRPr="007030AD">
        <w:rPr>
          <w:rFonts w:cstheme="minorHAnsi"/>
        </w:rPr>
        <w:t xml:space="preserve"> </w:t>
      </w:r>
      <w:r w:rsidR="00781A8C" w:rsidRPr="007030AD">
        <w:rPr>
          <w:rFonts w:cstheme="minorHAnsi"/>
        </w:rPr>
        <w:t>nella Guida alla Convenzione</w:t>
      </w:r>
      <w:r w:rsidRPr="007030AD">
        <w:rPr>
          <w:rFonts w:cstheme="minorHAnsi"/>
        </w:rPr>
        <w:t xml:space="preserve"> non assicurate dalla Società Vodafone</w:t>
      </w:r>
    </w:p>
    <w:p w:rsidR="00781A8C" w:rsidRPr="007030AD" w:rsidRDefault="00781A8C" w:rsidP="00124F4E">
      <w:pPr>
        <w:autoSpaceDE w:val="0"/>
        <w:autoSpaceDN w:val="0"/>
        <w:adjustRightInd w:val="0"/>
        <w:spacing w:after="120"/>
        <w:ind w:left="1560" w:hanging="1560"/>
        <w:jc w:val="both"/>
        <w:rPr>
          <w:rFonts w:cstheme="minorHAnsi"/>
        </w:rPr>
      </w:pPr>
      <w:r w:rsidRPr="007030AD">
        <w:rPr>
          <w:rFonts w:cstheme="minorHAnsi"/>
        </w:rPr>
        <w:t xml:space="preserve">RITENUTO </w:t>
      </w:r>
      <w:r w:rsidR="00124F4E">
        <w:rPr>
          <w:rFonts w:cstheme="minorHAnsi"/>
        </w:rPr>
        <w:t xml:space="preserve">      </w:t>
      </w:r>
      <w:r w:rsidRPr="007030AD">
        <w:rPr>
          <w:rFonts w:cstheme="minorHAnsi"/>
        </w:rPr>
        <w:t>che la tempistica di esecuzione della fornitura in oggetto sia elemento essenziale per l'amministrazione, nel</w:t>
      </w:r>
      <w:r w:rsidR="00CC2882" w:rsidRPr="007030AD">
        <w:rPr>
          <w:rFonts w:cstheme="minorHAnsi"/>
        </w:rPr>
        <w:t xml:space="preserve"> rispetto di quanto indicato nella lettera di autorizzazione </w:t>
      </w:r>
    </w:p>
    <w:p w:rsidR="00781A8C" w:rsidRPr="00CD3431" w:rsidRDefault="007030AD" w:rsidP="007030AD">
      <w:pPr>
        <w:jc w:val="center"/>
        <w:rPr>
          <w:rFonts w:cstheme="minorHAnsi"/>
          <w:b/>
        </w:rPr>
      </w:pPr>
      <w:r w:rsidRPr="00CD3431">
        <w:rPr>
          <w:rFonts w:cstheme="minorHAnsi"/>
          <w:b/>
        </w:rPr>
        <w:t>COMUNICA</w:t>
      </w:r>
    </w:p>
    <w:p w:rsidR="00CD3431" w:rsidRPr="00CD3431" w:rsidRDefault="007030AD" w:rsidP="00124F4E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  <w:b/>
        </w:rPr>
      </w:pPr>
      <w:r w:rsidRPr="007030AD">
        <w:rPr>
          <w:rFonts w:cstheme="minorHAnsi"/>
        </w:rPr>
        <w:t>nel rispetto dei principi di economicità, efficacia ed efficienza</w:t>
      </w:r>
      <w:r w:rsidR="00CD3431">
        <w:rPr>
          <w:rFonts w:cstheme="minorHAnsi"/>
        </w:rPr>
        <w:t xml:space="preserve"> </w:t>
      </w:r>
      <w:r w:rsidR="00781A8C" w:rsidRPr="007030AD">
        <w:rPr>
          <w:rFonts w:cstheme="minorHAnsi"/>
        </w:rPr>
        <w:t xml:space="preserve">di derogare all'obbligo normativo di ricorso alle Convenzioni quadro stipulate da </w:t>
      </w:r>
      <w:proofErr w:type="spellStart"/>
      <w:r w:rsidR="00781A8C" w:rsidRPr="007030AD">
        <w:rPr>
          <w:rFonts w:cstheme="minorHAnsi"/>
        </w:rPr>
        <w:t>Consip</w:t>
      </w:r>
      <w:proofErr w:type="spellEnd"/>
      <w:r w:rsidR="00781A8C" w:rsidRPr="007030AD">
        <w:rPr>
          <w:rFonts w:cstheme="minorHAnsi"/>
        </w:rPr>
        <w:t xml:space="preserve"> S.p.A.</w:t>
      </w:r>
      <w:r w:rsidR="00CD3431">
        <w:rPr>
          <w:rFonts w:cstheme="minorHAnsi"/>
        </w:rPr>
        <w:t xml:space="preserve"> a</w:t>
      </w:r>
      <w:r w:rsidR="00781A8C" w:rsidRPr="007030AD">
        <w:rPr>
          <w:rFonts w:cstheme="minorHAnsi"/>
        </w:rPr>
        <w:t xml:space="preserve">i fini dell'approvvigionamento di beni e servizi </w:t>
      </w:r>
      <w:r w:rsidRPr="007030AD">
        <w:rPr>
          <w:rFonts w:cstheme="minorHAnsi"/>
        </w:rPr>
        <w:t>per il cablaggio e gli acquisti del proprio Istitut</w:t>
      </w:r>
      <w:r w:rsidR="00CD3431">
        <w:rPr>
          <w:rFonts w:cstheme="minorHAnsi"/>
        </w:rPr>
        <w:t xml:space="preserve">o </w:t>
      </w:r>
      <w:r w:rsidR="00CD3431" w:rsidRPr="00CD3431">
        <w:rPr>
          <w:rFonts w:cstheme="minorHAnsi"/>
          <w:b/>
        </w:rPr>
        <w:t xml:space="preserve">in deroga </w:t>
      </w:r>
      <w:proofErr w:type="spellStart"/>
      <w:r w:rsidR="00CD3431" w:rsidRPr="00CD3431">
        <w:rPr>
          <w:rFonts w:cstheme="minorHAnsi"/>
          <w:b/>
        </w:rPr>
        <w:t>all</w:t>
      </w:r>
      <w:proofErr w:type="spellEnd"/>
      <w:r w:rsidR="00CD3431" w:rsidRPr="00CD3431">
        <w:rPr>
          <w:rFonts w:cstheme="minorHAnsi"/>
          <w:b/>
        </w:rPr>
        <w:t xml:space="preserve"> legge 108/2021 di conversione del Decreto Legge n° 77 del 31 maggio 2021 cosiddetto decreto semplificazioni Bis in </w:t>
      </w:r>
      <w:proofErr w:type="gramStart"/>
      <w:r w:rsidR="00CD3431" w:rsidRPr="00CD3431">
        <w:rPr>
          <w:rFonts w:cstheme="minorHAnsi"/>
          <w:b/>
        </w:rPr>
        <w:t>particolare  ai</w:t>
      </w:r>
      <w:proofErr w:type="gramEnd"/>
      <w:r w:rsidR="00CD3431" w:rsidRPr="00CD3431">
        <w:rPr>
          <w:rFonts w:cstheme="minorHAnsi"/>
          <w:b/>
        </w:rPr>
        <w:t xml:space="preserve"> sensi dell’art. 55 comma 1 lettera b)</w:t>
      </w:r>
    </w:p>
    <w:p w:rsidR="00781A8C" w:rsidRPr="007030AD" w:rsidRDefault="00781A8C" w:rsidP="00124F4E">
      <w:pPr>
        <w:spacing w:after="0"/>
        <w:jc w:val="both"/>
        <w:rPr>
          <w:rFonts w:cstheme="minorHAnsi"/>
        </w:rPr>
      </w:pPr>
      <w:r w:rsidRPr="007030AD">
        <w:rPr>
          <w:rFonts w:cstheme="minorHAnsi"/>
        </w:rPr>
        <w:lastRenderedPageBreak/>
        <w:t xml:space="preserve">di procedere con successiva determina e relativo </w:t>
      </w:r>
      <w:proofErr w:type="gramStart"/>
      <w:r w:rsidRPr="007030AD">
        <w:rPr>
          <w:rFonts w:cstheme="minorHAnsi"/>
        </w:rPr>
        <w:t xml:space="preserve">ordine </w:t>
      </w:r>
      <w:r w:rsidR="007030AD" w:rsidRPr="007030AD">
        <w:rPr>
          <w:rFonts w:cstheme="minorHAnsi"/>
        </w:rPr>
        <w:t xml:space="preserve"> </w:t>
      </w:r>
      <w:r w:rsidRPr="007030AD">
        <w:rPr>
          <w:rFonts w:cstheme="minorHAnsi"/>
        </w:rPr>
        <w:t>su</w:t>
      </w:r>
      <w:proofErr w:type="gramEnd"/>
      <w:r w:rsidRPr="007030AD">
        <w:rPr>
          <w:rFonts w:cstheme="minorHAnsi"/>
        </w:rPr>
        <w:t xml:space="preserve"> </w:t>
      </w:r>
      <w:proofErr w:type="spellStart"/>
      <w:r w:rsidRPr="007030AD">
        <w:rPr>
          <w:rFonts w:cstheme="minorHAnsi"/>
        </w:rPr>
        <w:t>MePA</w:t>
      </w:r>
      <w:proofErr w:type="spellEnd"/>
      <w:r w:rsidRPr="007030AD">
        <w:rPr>
          <w:rFonts w:cstheme="minorHAnsi"/>
        </w:rPr>
        <w:t>, con caratteristiche essenziali idonee al fabbisogno dell'Istituto, nel</w:t>
      </w:r>
      <w:r w:rsidR="007030AD" w:rsidRPr="007030AD">
        <w:rPr>
          <w:rFonts w:cstheme="minorHAnsi"/>
        </w:rPr>
        <w:t xml:space="preserve"> </w:t>
      </w:r>
      <w:r w:rsidRPr="007030AD">
        <w:rPr>
          <w:rFonts w:cstheme="minorHAnsi"/>
        </w:rPr>
        <w:t>rispetto di quanto disposto dall'art. 1, comma 512 della L. n. 208/2015.</w:t>
      </w:r>
    </w:p>
    <w:p w:rsidR="00781A8C" w:rsidRPr="007030AD" w:rsidRDefault="00781A8C" w:rsidP="00124F4E">
      <w:pPr>
        <w:spacing w:after="0"/>
        <w:jc w:val="both"/>
        <w:rPr>
          <w:rFonts w:cstheme="minorHAnsi"/>
        </w:rPr>
      </w:pPr>
      <w:r w:rsidRPr="007030AD">
        <w:rPr>
          <w:rFonts w:cstheme="minorHAnsi"/>
        </w:rPr>
        <w:t xml:space="preserve">Ai sensi dell'art. 31 del D. </w:t>
      </w:r>
      <w:proofErr w:type="spellStart"/>
      <w:r w:rsidRPr="007030AD">
        <w:rPr>
          <w:rFonts w:cstheme="minorHAnsi"/>
        </w:rPr>
        <w:t>lgs</w:t>
      </w:r>
      <w:proofErr w:type="spellEnd"/>
      <w:r w:rsidRPr="007030AD">
        <w:rPr>
          <w:rFonts w:cstheme="minorHAnsi"/>
        </w:rPr>
        <w:t>. n. 50/2016 e dell'art. 5 della L. 241/1990, il Responsabile del</w:t>
      </w:r>
    </w:p>
    <w:p w:rsidR="00781A8C" w:rsidRPr="007030AD" w:rsidRDefault="00781A8C" w:rsidP="00124F4E">
      <w:pPr>
        <w:spacing w:after="0"/>
        <w:jc w:val="both"/>
        <w:rPr>
          <w:rFonts w:cstheme="minorHAnsi"/>
        </w:rPr>
      </w:pPr>
      <w:r w:rsidRPr="007030AD">
        <w:rPr>
          <w:rFonts w:cstheme="minorHAnsi"/>
        </w:rPr>
        <w:t xml:space="preserve">Procedimento è il </w:t>
      </w:r>
      <w:r w:rsidRPr="00124F4E">
        <w:rPr>
          <w:rFonts w:cstheme="minorHAnsi"/>
        </w:rPr>
        <w:t xml:space="preserve">Dirigente Scolastico </w:t>
      </w:r>
      <w:proofErr w:type="spellStart"/>
      <w:r w:rsidR="00124F4E" w:rsidRPr="00124F4E">
        <w:rPr>
          <w:rFonts w:cstheme="minorHAnsi"/>
          <w:color w:val="FF0000"/>
        </w:rPr>
        <w:t>Dirigente_scolastico</w:t>
      </w:r>
      <w:proofErr w:type="spellEnd"/>
    </w:p>
    <w:p w:rsidR="00781A8C" w:rsidRPr="007030AD" w:rsidRDefault="007030AD" w:rsidP="00124F4E">
      <w:pPr>
        <w:spacing w:after="0"/>
        <w:jc w:val="both"/>
        <w:rPr>
          <w:rFonts w:cstheme="minorHAnsi"/>
        </w:rPr>
      </w:pPr>
      <w:r w:rsidRPr="007030AD">
        <w:rPr>
          <w:rFonts w:cstheme="minorHAnsi"/>
        </w:rPr>
        <w:t>L</w:t>
      </w:r>
      <w:r w:rsidR="00781A8C" w:rsidRPr="007030AD">
        <w:rPr>
          <w:rFonts w:cstheme="minorHAnsi"/>
        </w:rPr>
        <w:t xml:space="preserve">a presente </w:t>
      </w:r>
      <w:r w:rsidRPr="007030AD">
        <w:rPr>
          <w:rFonts w:cstheme="minorHAnsi"/>
        </w:rPr>
        <w:t>comunicazione</w:t>
      </w:r>
      <w:r w:rsidR="00781A8C" w:rsidRPr="007030AD">
        <w:rPr>
          <w:rFonts w:cstheme="minorHAnsi"/>
        </w:rPr>
        <w:t xml:space="preserve"> è depositata agli atti e pubblicata all'Albo on line e nella sez.</w:t>
      </w:r>
    </w:p>
    <w:p w:rsidR="00781A8C" w:rsidRPr="007030AD" w:rsidRDefault="00781A8C" w:rsidP="00124F4E">
      <w:pPr>
        <w:spacing w:after="0"/>
        <w:jc w:val="both"/>
        <w:rPr>
          <w:rFonts w:cstheme="minorHAnsi"/>
        </w:rPr>
      </w:pPr>
      <w:r w:rsidRPr="007030AD">
        <w:rPr>
          <w:rFonts w:cstheme="minorHAnsi"/>
        </w:rPr>
        <w:t>Amministrazione Trasparente sul profilo del committente</w:t>
      </w:r>
      <w:r w:rsidRPr="00CD3431">
        <w:rPr>
          <w:rFonts w:cstheme="minorHAnsi"/>
          <w:highlight w:val="yellow"/>
        </w:rPr>
        <w:t>: www</w:t>
      </w:r>
      <w:r w:rsidR="007030AD" w:rsidRPr="00CD3431">
        <w:rPr>
          <w:rFonts w:cstheme="minorHAnsi"/>
          <w:highlight w:val="yellow"/>
        </w:rPr>
        <w:t>.</w:t>
      </w:r>
    </w:p>
    <w:p w:rsidR="00781A8C" w:rsidRPr="007030AD" w:rsidRDefault="00781A8C" w:rsidP="00124F4E">
      <w:pPr>
        <w:spacing w:after="0"/>
        <w:jc w:val="both"/>
        <w:rPr>
          <w:rFonts w:cstheme="minorHAnsi"/>
        </w:rPr>
      </w:pPr>
      <w:r w:rsidRPr="007030AD">
        <w:rPr>
          <w:rFonts w:cstheme="minorHAnsi"/>
        </w:rPr>
        <w:t xml:space="preserve">con l'applicazione delle disposizioni di cui al D. </w:t>
      </w:r>
      <w:proofErr w:type="spellStart"/>
      <w:r w:rsidRPr="007030AD">
        <w:rPr>
          <w:rFonts w:cstheme="minorHAnsi"/>
        </w:rPr>
        <w:t>lgs</w:t>
      </w:r>
      <w:proofErr w:type="spellEnd"/>
      <w:r w:rsidRPr="007030AD">
        <w:rPr>
          <w:rFonts w:cstheme="minorHAnsi"/>
        </w:rPr>
        <w:t>. 33/2013</w:t>
      </w:r>
    </w:p>
    <w:p w:rsidR="007030AD" w:rsidRPr="007030AD" w:rsidRDefault="007030AD" w:rsidP="007030AD">
      <w:pPr>
        <w:rPr>
          <w:rFonts w:cstheme="minorHAnsi"/>
        </w:rPr>
      </w:pPr>
      <w:r w:rsidRPr="007030AD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="00124F4E">
        <w:rPr>
          <w:rFonts w:cstheme="minorHAnsi"/>
        </w:rPr>
        <w:t>F.</w:t>
      </w:r>
      <w:proofErr w:type="gramStart"/>
      <w:r w:rsidR="00124F4E">
        <w:rPr>
          <w:rFonts w:cstheme="minorHAnsi"/>
        </w:rPr>
        <w:t>to</w:t>
      </w:r>
      <w:r w:rsidRPr="007030AD">
        <w:rPr>
          <w:rFonts w:cstheme="minorHAnsi"/>
        </w:rPr>
        <w:t xml:space="preserve">  </w:t>
      </w:r>
      <w:r w:rsidR="00781A8C" w:rsidRPr="007030AD">
        <w:rPr>
          <w:rFonts w:cstheme="minorHAnsi"/>
        </w:rPr>
        <w:t>Il</w:t>
      </w:r>
      <w:proofErr w:type="gramEnd"/>
      <w:r w:rsidR="00781A8C" w:rsidRPr="007030AD">
        <w:rPr>
          <w:rFonts w:cstheme="minorHAnsi"/>
        </w:rPr>
        <w:t xml:space="preserve"> Dirigente Scolastico </w:t>
      </w:r>
    </w:p>
    <w:p w:rsidR="00F87938" w:rsidRPr="007030AD" w:rsidRDefault="007030AD" w:rsidP="007030AD">
      <w:pPr>
        <w:jc w:val="center"/>
        <w:rPr>
          <w:rFonts w:cstheme="minorHAnsi"/>
        </w:rPr>
      </w:pPr>
      <w:r w:rsidRPr="007030AD">
        <w:rPr>
          <w:rFonts w:cstheme="minorHAnsi"/>
        </w:rPr>
        <w:t xml:space="preserve">                                                                                                                            </w:t>
      </w:r>
      <w:proofErr w:type="spellStart"/>
      <w:r w:rsidR="00124F4E" w:rsidRPr="00124F4E">
        <w:rPr>
          <w:rFonts w:cstheme="minorHAnsi"/>
          <w:color w:val="FF0000"/>
        </w:rPr>
        <w:t>Dirigente_scolastico</w:t>
      </w:r>
      <w:proofErr w:type="spellEnd"/>
    </w:p>
    <w:sectPr w:rsidR="00F87938" w:rsidRPr="007030A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375" w:rsidRDefault="002C4375" w:rsidP="00781A8C">
      <w:pPr>
        <w:spacing w:after="0" w:line="240" w:lineRule="auto"/>
      </w:pPr>
      <w:r>
        <w:separator/>
      </w:r>
    </w:p>
  </w:endnote>
  <w:endnote w:type="continuationSeparator" w:id="0">
    <w:p w:rsidR="002C4375" w:rsidRDefault="002C4375" w:rsidP="0078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375" w:rsidRDefault="002C4375" w:rsidP="00781A8C">
      <w:pPr>
        <w:spacing w:after="0" w:line="240" w:lineRule="auto"/>
      </w:pPr>
      <w:r>
        <w:separator/>
      </w:r>
    </w:p>
  </w:footnote>
  <w:footnote w:type="continuationSeparator" w:id="0">
    <w:p w:rsidR="002C4375" w:rsidRDefault="002C4375" w:rsidP="0078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C" w:rsidRPr="00781A8C" w:rsidRDefault="00781A8C" w:rsidP="00054C2C">
    <w:pPr>
      <w:pStyle w:val="Intestazione"/>
    </w:pPr>
    <w:r>
      <w:rPr>
        <w:rFonts w:ascii="Times New Roman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3C8194C0" wp14:editId="52344CF6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6120130" cy="857885"/>
          <wp:effectExtent l="0" t="0" r="0" b="0"/>
          <wp:wrapTopAndBottom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8C"/>
    <w:rsid w:val="00054C2C"/>
    <w:rsid w:val="00124F4E"/>
    <w:rsid w:val="002C4375"/>
    <w:rsid w:val="00642954"/>
    <w:rsid w:val="00663C2D"/>
    <w:rsid w:val="007030AD"/>
    <w:rsid w:val="007554A3"/>
    <w:rsid w:val="00781A8C"/>
    <w:rsid w:val="008C1635"/>
    <w:rsid w:val="009C0BCA"/>
    <w:rsid w:val="00CC2882"/>
    <w:rsid w:val="00CD3431"/>
    <w:rsid w:val="00E334D6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CF3B-6A35-43FD-A193-8B1750F3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A8C"/>
  </w:style>
  <w:style w:type="paragraph" w:styleId="Pidipagina">
    <w:name w:val="footer"/>
    <w:basedOn w:val="Normale"/>
    <w:link w:val="PidipaginaCarattere"/>
    <w:uiPriority w:val="99"/>
    <w:unhideWhenUsed/>
    <w:rsid w:val="00781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A8C"/>
  </w:style>
  <w:style w:type="paragraph" w:customStyle="1" w:styleId="Default">
    <w:name w:val="Default"/>
    <w:rsid w:val="00781A8C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.unife.it/dipartimento/medicina-sperimentale-diagnostica/sezioni-centri/sezione-di-patologia-generale/signaltransductionlab/logo-miur.jpg/im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Angela</dc:creator>
  <cp:keywords/>
  <dc:description/>
  <cp:lastModifiedBy>Utente</cp:lastModifiedBy>
  <cp:revision>7</cp:revision>
  <dcterms:created xsi:type="dcterms:W3CDTF">2022-03-09T05:47:00Z</dcterms:created>
  <dcterms:modified xsi:type="dcterms:W3CDTF">2022-03-18T18:09:00Z</dcterms:modified>
</cp:coreProperties>
</file>